
<file path=[Content_Types].xml><?xml version="1.0" encoding="utf-8"?>
<Types xmlns="http://schemas.openxmlformats.org/package/2006/content-types">
  <Default Extension="xml" ContentType="application/xml"/>
  <Default Extension="bin" ContentType="application/vnd.openxmlformats-officedocument.oleObject"/>
  <Default Extension="png" ContentType="image/png"/>
  <Default Extension="jpeg" ContentType="image/jpeg"/>
  <Default Extension="JPG" ContentType="image/.jpg"/>
  <Default Extension="wmf" ContentType="image/x-wmf"/>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footer1.xml" ContentType="application/vnd.openxmlformats-officedocument.wordprocessingml.footer+xml"/>
  <Override PartName="/word/footer2.xml" ContentType="application/vnd.openxmlformats-officedocument.wordprocessingml.foot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ind w:firstLine="480"/>
        <w:jc w:val="center"/>
        <w:rPr>
          <w:rFonts w:hint="default" w:ascii="Times New Roman" w:hAnsi="Times New Roman" w:cs="Times New Roman" w:eastAsiaTheme="minorEastAsia"/>
          <w:b/>
          <w:color w:val="000000" w:themeColor="text1"/>
          <w:sz w:val="32"/>
          <w:szCs w:val="32"/>
          <w14:textFill>
            <w14:solidFill>
              <w14:schemeClr w14:val="tx1"/>
            </w14:solidFill>
          </w14:textFill>
        </w:rPr>
      </w:pPr>
      <w:r>
        <w:rPr>
          <w:rFonts w:hint="default" w:ascii="Times New Roman" w:hAnsi="Times New Roman" w:cs="Times New Roman" w:eastAsiaTheme="minorEastAsia"/>
          <w:b/>
          <w:color w:val="000000" w:themeColor="text1"/>
          <w:sz w:val="32"/>
          <w:szCs w:val="32"/>
          <w14:textFill>
            <w14:solidFill>
              <w14:schemeClr w14:val="tx1"/>
            </w14:solidFill>
          </w14:textFill>
        </w:rPr>
        <w:t>四川轻化工大学本科课程实施大纲</w:t>
      </w:r>
    </w:p>
    <w:p>
      <w:pPr>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《生药分析》</w:t>
      </w:r>
    </w:p>
    <w:p>
      <w:pP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说明</w:t>
      </w:r>
    </w:p>
    <w:p>
      <w:pPr>
        <w:spacing w:line="400" w:lineRule="exact"/>
        <w:ind w:firstLine="600" w:firstLineChars="25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本生物药物分析教学实施大纲包括基本信息、课程描述、教学理念、教师简介、先修课程、课程目标、课程教学实施、课程要求、课程考核、学术诚信、课堂规范、课程资源、教学合同等13部分内容。其中课程教学实施是本大纲的主要阐述内容：在主要参考的生物药物分析教材自然章节的基础上分</w:t>
      </w:r>
      <w:r>
        <w:rPr>
          <w:rFonts w:hint="eastAsia" w:ascii="Times New Roman" w:hAnsi="Times New Roman" w:cs="Times New Roman" w:eastAsiaTheme="minorEastAsia"/>
          <w:color w:val="000000" w:themeColor="text1"/>
          <w:sz w:val="24"/>
          <w:lang w:val="en-US" w:eastAsia="zh-CN"/>
          <w14:textFill>
            <w14:solidFill>
              <w14:schemeClr w14:val="tx1"/>
            </w14:solidFill>
          </w14:textFill>
        </w:rPr>
        <w:t>16</w:t>
      </w:r>
      <w:r>
        <w:rPr>
          <w:rFonts w:hint="default" w:ascii="Times New Roman" w:hAnsi="Times New Roman" w:cs="Times New Roman" w:eastAsiaTheme="minorEastAsia"/>
          <w:color w:val="000000" w:themeColor="text1"/>
          <w:sz w:val="24"/>
          <w14:textFill>
            <w14:solidFill>
              <w14:schemeClr w14:val="tx1"/>
            </w14:solidFill>
          </w14:textFill>
        </w:rPr>
        <w:t>个讲授单元，总计</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48</w:t>
      </w:r>
      <w:r>
        <w:rPr>
          <w:rFonts w:hint="default" w:ascii="Times New Roman" w:hAnsi="Times New Roman" w:cs="Times New Roman" w:eastAsiaTheme="minorEastAsia"/>
          <w:color w:val="000000" w:themeColor="text1"/>
          <w:sz w:val="24"/>
          <w14:textFill>
            <w14:solidFill>
              <w14:schemeClr w14:val="tx1"/>
            </w14:solidFill>
          </w14:textFill>
        </w:rPr>
        <w:t>学时，（不包含生药分析实验部分）。每一授课单元教学时间依据章节内容分为2课时、4课时不等。以教材自然章节为撰写单元，撰写内容包括教学目标，教学重难点，教学内容，教学过程等。其中教学过程以每一节（90分钟）为单位依次进行撰写，包括具体的课堂设计，采用的教学方法、授课过程，课堂讨论的主题、相关阅读材料、作业内容、课前准备情况、课后反思内容等方面，个别章节依据授课内容做细微调节。本大纲以</w:t>
      </w:r>
      <w:r>
        <w:rPr>
          <w:rFonts w:hint="eastAsia" w:ascii="Times New Roman" w:hAnsi="Times New Roman" w:cs="Times New Roman" w:eastAsiaTheme="minorEastAsia"/>
          <w:color w:val="000000" w:themeColor="text1"/>
          <w:sz w:val="24"/>
          <w:lang w:val="en-US" w:eastAsia="zh-CN"/>
          <w14:textFill>
            <w14:solidFill>
              <w14:schemeClr w14:val="tx1"/>
            </w14:solidFill>
          </w14:textFill>
        </w:rPr>
        <w:t>张怡轩</w:t>
      </w:r>
      <w:r>
        <w:rPr>
          <w:rFonts w:hint="default" w:ascii="Times New Roman" w:hAnsi="Times New Roman" w:cs="Times New Roman" w:eastAsiaTheme="minorEastAsia"/>
          <w:color w:val="000000" w:themeColor="text1"/>
          <w:sz w:val="24"/>
          <w14:textFill>
            <w14:solidFill>
              <w14:schemeClr w14:val="tx1"/>
            </w14:solidFill>
          </w14:textFill>
        </w:rPr>
        <w:t>编写的《生物药物分析》为主要讲课参考教材，同时参考何华编写的《生物药物分析》及孙莹和吕洁编写的《药物分析》。</w:t>
      </w:r>
    </w:p>
    <w:p>
      <w:pPr>
        <w:spacing w:line="40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课时安排如下：</w:t>
      </w:r>
    </w:p>
    <w:tbl>
      <w:tblPr>
        <w:tblStyle w:val="13"/>
        <w:tblW w:w="4998" w:type="pct"/>
        <w:jc w:val="center"/>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Layout w:type="autofit"/>
        <w:tblCellMar>
          <w:top w:w="0" w:type="dxa"/>
          <w:left w:w="108" w:type="dxa"/>
          <w:bottom w:w="0" w:type="dxa"/>
          <w:right w:w="108" w:type="dxa"/>
        </w:tblCellMar>
      </w:tblPr>
      <w:tblGrid>
        <w:gridCol w:w="1211"/>
        <w:gridCol w:w="5171"/>
        <w:gridCol w:w="2137"/>
      </w:tblGrid>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66"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b/>
                <w:bCs/>
                <w:color w:val="000000" w:themeColor="text1"/>
                <w:sz w:val="24"/>
                <w:szCs w:val="24"/>
                <w14:textFill>
                  <w14:solidFill>
                    <w14:schemeClr w14:val="tx1"/>
                  </w14:solidFill>
                </w14:textFill>
              </w:rPr>
            </w:pPr>
            <w:r>
              <w:rPr>
                <w:rFonts w:hint="default" w:ascii="Times New Roman" w:hAnsi="Times New Roman" w:cs="Times New Roman" w:eastAsiaTheme="minorEastAsia"/>
                <w:b/>
                <w:bCs/>
                <w:color w:val="000000" w:themeColor="text1"/>
                <w:sz w:val="24"/>
                <w:szCs w:val="24"/>
                <w14:textFill>
                  <w14:solidFill>
                    <w14:schemeClr w14:val="tx1"/>
                  </w14:solidFill>
                </w14:textFill>
              </w:rPr>
              <w:t>章次</w:t>
            </w:r>
          </w:p>
        </w:tc>
        <w:tc>
          <w:tcPr>
            <w:tcW w:w="3034" w:type="pct"/>
          </w:tcPr>
          <w:p>
            <w:pPr>
              <w:tabs>
                <w:tab w:val="left" w:pos="360"/>
                <w:tab w:val="center" w:pos="2142"/>
              </w:tabs>
              <w:spacing w:line="360" w:lineRule="exact"/>
              <w:jc w:val="center"/>
              <w:rPr>
                <w:rFonts w:hint="default" w:ascii="Times New Roman" w:hAnsi="Times New Roman" w:cs="Times New Roman" w:eastAsiaTheme="minorEastAsia"/>
                <w:b/>
                <w:bCs/>
                <w:color w:val="000000" w:themeColor="text1"/>
                <w:sz w:val="24"/>
                <w:szCs w:val="24"/>
                <w14:textFill>
                  <w14:solidFill>
                    <w14:schemeClr w14:val="tx1"/>
                  </w14:solidFill>
                </w14:textFill>
              </w:rPr>
            </w:pPr>
            <w:r>
              <w:rPr>
                <w:rFonts w:hint="default" w:ascii="Times New Roman" w:hAnsi="Times New Roman" w:cs="Times New Roman" w:eastAsiaTheme="minorEastAsia"/>
                <w:b/>
                <w:bCs/>
                <w:color w:val="000000" w:themeColor="text1"/>
                <w:sz w:val="24"/>
                <w:szCs w:val="24"/>
                <w14:textFill>
                  <w14:solidFill>
                    <w14:schemeClr w14:val="tx1"/>
                  </w14:solidFill>
                </w14:textFill>
              </w:rPr>
              <w:t>教学内容</w:t>
            </w:r>
          </w:p>
        </w:tc>
        <w:tc>
          <w:tcPr>
            <w:tcW w:w="1254" w:type="pct"/>
          </w:tcPr>
          <w:p>
            <w:pPr>
              <w:tabs>
                <w:tab w:val="left" w:pos="360"/>
              </w:tabs>
              <w:spacing w:line="360" w:lineRule="exact"/>
              <w:jc w:val="center"/>
              <w:rPr>
                <w:rFonts w:hint="default" w:ascii="Times New Roman" w:hAnsi="Times New Roman" w:cs="Times New Roman" w:eastAsiaTheme="minorEastAsia"/>
                <w:b/>
                <w:bCs/>
                <w:color w:val="000000" w:themeColor="text1"/>
                <w:sz w:val="24"/>
                <w:szCs w:val="24"/>
                <w14:textFill>
                  <w14:solidFill>
                    <w14:schemeClr w14:val="tx1"/>
                  </w14:solidFill>
                </w14:textFill>
              </w:rPr>
            </w:pPr>
            <w:r>
              <w:rPr>
                <w:rFonts w:hint="default" w:ascii="Times New Roman" w:hAnsi="Times New Roman" w:cs="Times New Roman" w:eastAsiaTheme="minorEastAsia"/>
                <w:b/>
                <w:bCs/>
                <w:color w:val="000000" w:themeColor="text1"/>
                <w:sz w:val="24"/>
                <w:szCs w:val="24"/>
                <w14:textFill>
                  <w14:solidFill>
                    <w14:schemeClr w14:val="tx1"/>
                  </w14:solidFill>
                </w14:textFill>
              </w:rPr>
              <w:t>授课学时</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一</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绪论</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二</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生物药物的杂质检查</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三</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生物药物的安全性检查</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四</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生物药物的微生物限度检查</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五</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生物药物的酶学分析法</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六</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抗生素类药物的分析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8</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85"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七</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维生素及辅酶类药物的分析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八</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核酸及核苷酸类药物的分析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九</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氨基酸、多肽与蛋白质类药物的分析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十</w:t>
            </w:r>
          </w:p>
        </w:tc>
        <w:tc>
          <w:tcPr>
            <w:tcW w:w="3034" w:type="pct"/>
          </w:tcPr>
          <w:p>
            <w:pPr>
              <w:tabs>
                <w:tab w:val="left" w:pos="360"/>
                <w:tab w:val="center" w:pos="2142"/>
              </w:tabs>
              <w:spacing w:line="36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多糖类药物的分析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十一</w:t>
            </w: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酶类药物的分析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1</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十二</w:t>
            </w: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细胞因子了类药物的分析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十三</w:t>
            </w: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抗体类药物的分析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十四</w:t>
            </w: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疫苗类药物的分析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十五</w:t>
            </w: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血液制品类药物的分析</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vAlign w:val="top"/>
          </w:tcPr>
          <w:p>
            <w:pPr>
              <w:tabs>
                <w:tab w:val="left" w:pos="360"/>
                <w:tab w:val="center" w:pos="2142"/>
              </w:tabs>
              <w:spacing w:line="360" w:lineRule="exact"/>
              <w:jc w:val="center"/>
              <w:rPr>
                <w:rFonts w:hint="default" w:ascii="Times New Roman" w:hAnsi="Times New Roman" w:cs="Times New Roman" w:eastAsiaTheme="minorEastAsia"/>
                <w:color w:val="000000" w:themeColor="text1"/>
                <w:kern w:val="2"/>
                <w:sz w:val="24"/>
                <w:szCs w:val="24"/>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十六</w:t>
            </w:r>
          </w:p>
        </w:tc>
        <w:tc>
          <w:tcPr>
            <w:tcW w:w="3034" w:type="pct"/>
            <w:vAlign w:val="top"/>
          </w:tcPr>
          <w:p>
            <w:pPr>
              <w:tabs>
                <w:tab w:val="left" w:pos="360"/>
                <w:tab w:val="center" w:pos="2142"/>
              </w:tabs>
              <w:spacing w:line="360" w:lineRule="exact"/>
              <w:jc w:val="left"/>
              <w:rPr>
                <w:rFonts w:hint="default" w:ascii="Times New Roman" w:hAnsi="Times New Roman" w:cs="Times New Roman" w:eastAsiaTheme="minorEastAsia"/>
                <w:color w:val="000000" w:themeColor="text1"/>
                <w:kern w:val="2"/>
                <w:sz w:val="24"/>
                <w:szCs w:val="24"/>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生物药物质量标准的制订</w:t>
            </w:r>
          </w:p>
        </w:tc>
        <w:tc>
          <w:tcPr>
            <w:tcW w:w="1254" w:type="pct"/>
            <w:vAlign w:val="top"/>
          </w:tcPr>
          <w:p>
            <w:pPr>
              <w:tabs>
                <w:tab w:val="left" w:pos="360"/>
                <w:tab w:val="center" w:pos="2142"/>
              </w:tabs>
              <w:spacing w:line="360" w:lineRule="exact"/>
              <w:jc w:val="center"/>
              <w:rPr>
                <w:rFonts w:hint="default" w:ascii="Times New Roman" w:hAnsi="Times New Roman" w:cs="Times New Roman" w:eastAsiaTheme="minorEastAsia"/>
                <w:color w:val="000000" w:themeColor="text1"/>
                <w:kern w:val="2"/>
                <w:sz w:val="24"/>
                <w:szCs w:val="24"/>
                <w:lang w:val="en-US" w:eastAsia="zh-CN" w:bidi="ar-SA"/>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72"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p>
        </w:tc>
        <w:tc>
          <w:tcPr>
            <w:tcW w:w="3034" w:type="pct"/>
          </w:tcPr>
          <w:p>
            <w:pPr>
              <w:tabs>
                <w:tab w:val="left" w:pos="360"/>
                <w:tab w:val="center" w:pos="2142"/>
              </w:tabs>
              <w:spacing w:line="360" w:lineRule="exact"/>
              <w:jc w:val="lef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习题答疑</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2</w:t>
            </w:r>
          </w:p>
        </w:tc>
      </w:tr>
      <w:tr>
        <w:tblPrEx>
          <w:tblBorders>
            <w:top w:val="single" w:color="auto" w:sz="4" w:space="0"/>
            <w:left w:val="single" w:color="auto" w:sz="4" w:space="0"/>
            <w:bottom w:val="single" w:color="auto" w:sz="4" w:space="0"/>
            <w:right w:val="single" w:color="auto" w:sz="4" w:space="0"/>
            <w:insideH w:val="single" w:color="auto" w:sz="6" w:space="0"/>
            <w:insideV w:val="single" w:color="auto" w:sz="6" w:space="0"/>
          </w:tblBorders>
          <w:tblCellMar>
            <w:top w:w="0" w:type="dxa"/>
            <w:left w:w="108" w:type="dxa"/>
            <w:bottom w:w="0" w:type="dxa"/>
            <w:right w:w="108" w:type="dxa"/>
          </w:tblCellMar>
        </w:tblPrEx>
        <w:trPr>
          <w:cantSplit/>
          <w:trHeight w:val="283" w:hRule="atLeast"/>
          <w:jc w:val="center"/>
        </w:trPr>
        <w:tc>
          <w:tcPr>
            <w:tcW w:w="711"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p>
        </w:tc>
        <w:tc>
          <w:tcPr>
            <w:tcW w:w="303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合计</w:t>
            </w:r>
          </w:p>
        </w:tc>
        <w:tc>
          <w:tcPr>
            <w:tcW w:w="1254" w:type="pct"/>
          </w:tcPr>
          <w:p>
            <w:pPr>
              <w:tabs>
                <w:tab w:val="left" w:pos="360"/>
                <w:tab w:val="center" w:pos="2142"/>
              </w:tabs>
              <w:spacing w:line="360" w:lineRule="exact"/>
              <w:jc w:val="cente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48</w:t>
            </w:r>
          </w:p>
        </w:tc>
      </w:tr>
    </w:tbl>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p>
    <w:tbl>
      <w:tblPr>
        <w:tblStyle w:val="13"/>
        <w:tblW w:w="8522" w:type="dxa"/>
        <w:tblInd w:w="0" w:type="dxa"/>
        <w:tblLayout w:type="fixed"/>
        <w:tblCellMar>
          <w:top w:w="0" w:type="dxa"/>
          <w:left w:w="108" w:type="dxa"/>
          <w:bottom w:w="0" w:type="dxa"/>
          <w:right w:w="108" w:type="dxa"/>
        </w:tblCellMar>
      </w:tblPr>
      <w:tblGrid>
        <w:gridCol w:w="8522"/>
      </w:tblGrid>
      <w:tr>
        <w:tblPrEx>
          <w:tblCellMar>
            <w:top w:w="0" w:type="dxa"/>
            <w:left w:w="108" w:type="dxa"/>
            <w:bottom w:w="0" w:type="dxa"/>
            <w:right w:w="108" w:type="dxa"/>
          </w:tblCellMar>
        </w:tblPrEx>
        <w:tc>
          <w:tcPr>
            <w:tcW w:w="8522" w:type="dxa"/>
            <w:shd w:val="clear" w:color="auto" w:fill="auto"/>
          </w:tcPr>
          <w:p>
            <w:pPr>
              <w:spacing w:line="400" w:lineRule="exact"/>
              <w:jc w:val="lef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基本信息</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课程代码：</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课程名称：生物药物分析</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学    分：3</w:t>
            </w:r>
          </w:p>
          <w:p>
            <w:pPr>
              <w:spacing w:line="400" w:lineRule="exact"/>
              <w:jc w:val="left"/>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总 学 时：</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48</w:t>
            </w:r>
          </w:p>
          <w:p>
            <w:pPr>
              <w:spacing w:line="400" w:lineRule="exact"/>
              <w:jc w:val="left"/>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学    期：</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1</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上课时间：</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2023-2024</w:t>
            </w:r>
            <w:r>
              <w:rPr>
                <w:rFonts w:hint="default" w:ascii="Times New Roman" w:hAnsi="Times New Roman" w:cs="Times New Roman" w:eastAsiaTheme="minorEastAsia"/>
                <w:color w:val="000000" w:themeColor="text1"/>
                <w14:textFill>
                  <w14:solidFill>
                    <w14:schemeClr w14:val="tx1"/>
                  </w14:solidFill>
                </w14:textFill>
              </w:rPr>
              <w:t xml:space="preserve"> 学年  第 </w:t>
            </w:r>
            <w:r>
              <w:rPr>
                <w:rFonts w:hint="default" w:ascii="Times New Roman" w:hAnsi="Times New Roman" w:cs="Times New Roman" w:eastAsiaTheme="minorEastAsia"/>
                <w:color w:val="000000" w:themeColor="text1"/>
                <w:sz w:val="24"/>
                <w:szCs w:val="32"/>
                <w14:textFill>
                  <w14:solidFill>
                    <w14:schemeClr w14:val="tx1"/>
                  </w14:solidFill>
                </w14:textFill>
              </w:rPr>
              <w:t xml:space="preserve">2 </w:t>
            </w:r>
            <w:r>
              <w:rPr>
                <w:rFonts w:hint="default" w:ascii="Times New Roman" w:hAnsi="Times New Roman" w:cs="Times New Roman" w:eastAsiaTheme="minorEastAsia"/>
                <w:color w:val="000000" w:themeColor="text1"/>
                <w14:textFill>
                  <w14:solidFill>
                    <w14:schemeClr w14:val="tx1"/>
                  </w14:solidFill>
                </w14:textFill>
              </w:rPr>
              <w:t>学期</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 xml:space="preserve">上课地点：四川轻化工大学厚德楼 </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答疑时间和方式：课余时间；课堂答疑，组建本门课程学习QQ群，公布教师办公电话及E-mail进行答疑</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答疑地点：上课教室，教师办公室及实验室，网络及电话</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授课对象：化工学院生药本科班学生</w:t>
            </w:r>
          </w:p>
          <w:p>
            <w:pPr>
              <w:spacing w:line="400" w:lineRule="exact"/>
              <w:jc w:val="left"/>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任课教师：马捷琼</w:t>
            </w:r>
            <w:r>
              <w:rPr>
                <w:rFonts w:hint="default" w:ascii="Times New Roman" w:hAnsi="Times New Roman" w:cs="Times New Roman" w:eastAsiaTheme="minorEastAsia"/>
                <w:color w:val="000000" w:themeColor="text1"/>
                <w:sz w:val="24"/>
                <w:lang w:eastAsia="zh-CN"/>
                <w14:textFill>
                  <w14:solidFill>
                    <w14:schemeClr w14:val="tx1"/>
                  </w14:solidFill>
                </w14:textFill>
              </w:rPr>
              <w:t>、</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周明</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学    院：</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化学工程</w:t>
            </w:r>
            <w:r>
              <w:rPr>
                <w:rFonts w:hint="default" w:ascii="Times New Roman" w:hAnsi="Times New Roman" w:cs="Times New Roman" w:eastAsiaTheme="minorEastAsia"/>
                <w:color w:val="000000" w:themeColor="text1"/>
                <w:sz w:val="24"/>
                <w14:textFill>
                  <w14:solidFill>
                    <w14:schemeClr w14:val="tx1"/>
                  </w14:solidFill>
                </w14:textFill>
              </w:rPr>
              <w:t>学院</w:t>
            </w:r>
          </w:p>
          <w:p>
            <w:pPr>
              <w:spacing w:line="400" w:lineRule="exact"/>
              <w:jc w:val="left"/>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邮    箱：</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mzhou@suse.edu.cn</w:t>
            </w:r>
          </w:p>
          <w:p>
            <w:pPr>
              <w:spacing w:line="400" w:lineRule="exact"/>
              <w:jc w:val="left"/>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联系电话：</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15283522527</w:t>
            </w:r>
          </w:p>
          <w:p>
            <w:pPr>
              <w:spacing w:line="400" w:lineRule="exact"/>
              <w:jc w:val="left"/>
              <w:rPr>
                <w:rFonts w:hint="default" w:ascii="Times New Roman" w:hAnsi="Times New Roman" w:cs="Times New Roman" w:eastAsiaTheme="minorEastAsia"/>
                <w:color w:val="000000" w:themeColor="text1"/>
                <w:sz w:val="24"/>
                <w14:textFill>
                  <w14:solidFill>
                    <w14:schemeClr w14:val="tx1"/>
                  </w14:solidFill>
                </w14:textFill>
              </w:rPr>
            </w:pPr>
          </w:p>
        </w:tc>
      </w:tr>
    </w:tbl>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生物药物分析的课程描述</w:t>
      </w:r>
    </w:p>
    <w:p>
      <w:pPr>
        <w:adjustRightInd w:val="0"/>
        <w:snapToGrid w:val="0"/>
        <w:spacing w:line="40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《生物药物分析》（Biopharmaceutical Analysis）是生物工程制药专业设置的一门专业课。生物药物分析学是一门研究生物药品及其制剂的组成、理化性质、真伪鉴定、纯度检查及其有效成份的含量测定的一门科学。生物药物分析学是整个药学领域中一个重要的组成部分。目的是为了保证人们用药安全、合理、有效，在药品的生产、供应、贮藏、调配以及临床使用过程中都必须</w:t>
      </w:r>
      <w:bookmarkStart w:id="24" w:name="_GoBack"/>
      <w:bookmarkEnd w:id="24"/>
      <w:r>
        <w:rPr>
          <w:rFonts w:hint="default" w:ascii="Times New Roman" w:hAnsi="Times New Roman" w:cs="Times New Roman" w:eastAsiaTheme="minorEastAsia"/>
          <w:color w:val="000000" w:themeColor="text1"/>
          <w:sz w:val="24"/>
          <w14:textFill>
            <w14:solidFill>
              <w14:schemeClr w14:val="tx1"/>
            </w14:solidFill>
          </w14:textFill>
        </w:rPr>
        <w:t>经过严格的分析检验。也就是必须运用各种有效的方法（包括物理学、化学、物理化学、生物学和微生物学等方法），在各个环节，控制药品质量。通过学习使学生对药物分析学知识尤其是各种分析方法基本掌握；对各种成分的分析思路清晰；进而理解各种药物进入体内，吸收、分布、代谢、消除等动力学过程。</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教学理念</w:t>
      </w:r>
    </w:p>
    <w:p>
      <w:pPr>
        <w:spacing w:line="400" w:lineRule="exact"/>
        <w:ind w:firstLine="360" w:firstLineChars="15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物药物分析涉及生物制药工程及相关学科的基础内容，知识点多、抽象概念多、难点多。对于制药相关专业的学生来说，《生物药物分析》是研究与药物相关的药物分析理论、原理与技术及其在药物研究、药品生产、药物质量控制与药品临床应用的基础学科。从上世纪末期开始，现代制药科学已经从以化学模式为主体迅速转向以生物学和化学相结合的新模式，因此，对于化工学院的相关专业来说，《生物药物分析》都在制药学科的发展中起着先导作用。</w:t>
      </w:r>
    </w:p>
    <w:p>
      <w:pPr>
        <w:spacing w:line="40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但是，因为《生物药物分析》具有一杂（机制复杂）、二多（概念多、内容多）、三性（规律性、理论性、系统性）的特点，所以学生一般都会感到内容抽象杂乱、难以记忆、无系统性，学习难度较大。《生物药物分析》教学的基本任务是系统阐述生物药物分析的基本理论和基础知识，使学生掌握扎实的《生物药物分析》基础理论知识、掌握《生物药物分析》的研究方法、技术和手段。同时，积极引导和鼓励学生自主创新，让学生既具备专业的视角，又具有创新的素质。</w:t>
      </w:r>
    </w:p>
    <w:p>
      <w:pPr>
        <w:spacing w:line="40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我们教学的基本任务是传授生物药物分析的基本理论和基础知识，使学生掌握扎实的生物药物分析基础理论知识、掌握生物药物分析的研究方法、技术和手段。同时，积极引导和鼓励学生自主创新，让学生既具备专业的视角，又具有创新的素质。</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教师简介</w:t>
      </w:r>
    </w:p>
    <w:p>
      <w:pPr>
        <w:spacing w:line="400" w:lineRule="exact"/>
        <w:ind w:firstLine="48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马捷琼，女，1975.3.20.出生，博士，副教授，化工学院教师，主要研究方向：天然活性产物。</w:t>
      </w:r>
    </w:p>
    <w:p>
      <w:pPr>
        <w:spacing w:line="400" w:lineRule="exact"/>
        <w:ind w:firstLine="480"/>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周明，男，1989.02.05，博士，讲师，化学工程学院教师，主要研究方向：基因组学与功能基因组学、靶向新药挖掘</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先修课程</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《微生物学》、《药理学》、《药物化学》、《生物药剂学》《分子生药学》等</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课程目标</w:t>
      </w: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1、任务和地位：</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《生物药物分析》（Biopharmaceutical Analysis）是生物制药专业的一门专业基础课。应用微生物学、分子生物学、免疫学、生物药物分析、有机化学、数学、分析化学、生化工程等学科的理论及其技术成就，检测和研究各种神武药物质量的一门中和性学科。《生物药物分析》是制药专业的专业基础课，在制药专业学生的知识结构中起着承前启后的重要作用。通过学习使学生对药物分析学知识尤其是各种分析方法基本掌握；对各种成分的分析思路清晰；进而理解各种药物进入体内，吸收、分布、代谢、消除等动力学过程。</w:t>
      </w:r>
    </w:p>
    <w:p>
      <w:pPr>
        <w:pStyle w:val="12"/>
        <w:spacing w:before="0" w:beforeAutospacing="0" w:after="0" w:afterAutospacing="0" w:line="400" w:lineRule="exact"/>
        <w:ind w:right="17"/>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2、知识方面：</w:t>
      </w:r>
    </w:p>
    <w:p>
      <w:pPr>
        <w:adjustRightInd w:val="0"/>
        <w:snapToGrid w:val="0"/>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 xml:space="preserve">   掌握生物药物分析的基础知识，包括基本理论、研究方法和技术等。如生物药物的杂质检查、生物药物的微生物限度检查法；各种生物药物的检测分析方法等。帮助学生形成生物药物分析的基本观点，明确生物药物分析的基本原理及其应用。</w:t>
      </w: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3、能力方面：</w:t>
      </w: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要求学生掌握生物药物分析的常用量度法，基本实验技能，如分光光度法和离心机使用；某些代谢物的定性、定量测定。熟悉电泳、层析分离原理和方法。</w:t>
      </w: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4、情感与认知方面：</w:t>
      </w: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培养学生的合作、交流与创新能力。</w:t>
      </w: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总之，顺应时代的发展要求，通过本课程的教与学，培养精通生物药物分析专业知识的制药专业相关复合型人才。</w:t>
      </w: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rPr>
          <w:rFonts w:hint="default" w:ascii="Times New Roman" w:hAnsi="Times New Roman" w:cs="Times New Roman" w:eastAsiaTheme="minorEastAsia"/>
          <w:color w:val="000000" w:themeColor="text1"/>
          <w:sz w:val="24"/>
          <w14:textFill>
            <w14:solidFill>
              <w14:schemeClr w14:val="tx1"/>
            </w14:solidFill>
          </w14:textFill>
        </w:rPr>
      </w:pPr>
    </w:p>
    <w:p>
      <w:pPr>
        <w:pStyle w:val="6"/>
        <w:spacing w:line="400" w:lineRule="exact"/>
        <w:ind w:left="0" w:leftChars="0"/>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授课过程</w:t>
      </w:r>
    </w:p>
    <w:tbl>
      <w:tblPr>
        <w:tblStyle w:val="1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819"/>
        <w:gridCol w:w="1409"/>
        <w:gridCol w:w="1186"/>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授课题目</w:t>
            </w:r>
          </w:p>
        </w:tc>
        <w:tc>
          <w:tcPr>
            <w:tcW w:w="3228"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lang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第一章</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绪论</w:t>
            </w:r>
          </w:p>
        </w:tc>
        <w:tc>
          <w:tcPr>
            <w:tcW w:w="118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授课日期</w:t>
            </w:r>
          </w:p>
        </w:tc>
        <w:tc>
          <w:tcPr>
            <w:tcW w:w="2842"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202</w:t>
            </w:r>
            <w:r>
              <w:rPr>
                <w:rFonts w:hint="default" w:ascii="Times New Roman" w:hAnsi="Times New Roman" w:cs="Times New Roman" w:eastAsiaTheme="minorEastAsia"/>
                <w:b/>
                <w:color w:val="000000" w:themeColor="text1"/>
                <w:sz w:val="24"/>
                <w:lang w:eastAsia="zh-CN"/>
                <w14:textFill>
                  <w14:solidFill>
                    <w14:schemeClr w14:val="tx1"/>
                  </w14:solidFill>
                </w14:textFill>
              </w:rPr>
              <w:t>4</w:t>
            </w:r>
            <w:r>
              <w:rPr>
                <w:rFonts w:hint="default" w:ascii="Times New Roman" w:hAnsi="Times New Roman" w:cs="Times New Roman" w:eastAsiaTheme="minorEastAsia"/>
                <w:b/>
                <w:color w:val="000000" w:themeColor="text1"/>
                <w:sz w:val="24"/>
                <w14:textFill>
                  <w14:solidFill>
                    <w14:schemeClr w14:val="tx1"/>
                  </w14:solidFill>
                </w14:textFill>
              </w:rPr>
              <w:t>年3月</w:t>
            </w:r>
            <w:r>
              <w:rPr>
                <w:rFonts w:hint="default" w:ascii="Times New Roman" w:hAnsi="Times New Roman" w:cs="Times New Roman" w:eastAsiaTheme="minorEastAsia"/>
                <w:b/>
                <w:color w:val="000000" w:themeColor="text1"/>
                <w:sz w:val="24"/>
                <w:lang w:eastAsia="zh-CN"/>
                <w14:textFill>
                  <w14:solidFill>
                    <w14:schemeClr w14:val="tx1"/>
                  </w14:solidFill>
                </w14:textFill>
              </w:rPr>
              <w:t>8、</w:t>
            </w:r>
            <w:r>
              <w:rPr>
                <w:rFonts w:hint="default" w:ascii="Times New Roman" w:hAnsi="Times New Roman" w:cs="Times New Roman" w:eastAsiaTheme="minorEastAsia"/>
                <w:b/>
                <w:color w:val="000000" w:themeColor="text1"/>
                <w:sz w:val="24"/>
                <w:lang w:val="en-US" w:eastAsia="zh-CN"/>
                <w14:textFill>
                  <w14:solidFill>
                    <w14:schemeClr w14:val="tx1"/>
                  </w14:solidFill>
                </w14:textFill>
              </w:rPr>
              <w:t>13</w:t>
            </w:r>
            <w:r>
              <w:rPr>
                <w:rFonts w:hint="default" w:ascii="Times New Roman" w:hAnsi="Times New Roman" w:cs="Times New Roman" w:eastAsiaTheme="minorEastAsia"/>
                <w:b/>
                <w:color w:val="000000" w:themeColor="text1"/>
                <w:sz w:val="24"/>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授课班级</w:t>
            </w:r>
          </w:p>
        </w:tc>
        <w:tc>
          <w:tcPr>
            <w:tcW w:w="1819"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409"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授课时数</w:t>
            </w:r>
          </w:p>
        </w:tc>
        <w:tc>
          <w:tcPr>
            <w:tcW w:w="1186"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eastAsia="zh-CN"/>
                <w14:textFill>
                  <w14:solidFill>
                    <w14:schemeClr w14:val="tx1"/>
                  </w14:solidFill>
                </w14:textFill>
              </w:rPr>
              <w:t>3</w:t>
            </w:r>
          </w:p>
        </w:tc>
        <w:tc>
          <w:tcPr>
            <w:tcW w:w="1421"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授课方式</w:t>
            </w:r>
          </w:p>
        </w:tc>
        <w:tc>
          <w:tcPr>
            <w:tcW w:w="1421"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理论课</w:t>
            </w:r>
          </w:p>
        </w:tc>
      </w:tr>
    </w:tbl>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【教学目标】</w:t>
      </w:r>
    </w:p>
    <w:p>
      <w:pPr>
        <w:numPr>
          <w:ilvl w:val="0"/>
          <w:numId w:val="1"/>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了解生物药物分析的性质和任务</w:t>
      </w:r>
    </w:p>
    <w:p>
      <w:pPr>
        <w:numPr>
          <w:ilvl w:val="0"/>
          <w:numId w:val="1"/>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了解各国药典和生物药物的质量标准</w:t>
      </w:r>
    </w:p>
    <w:p>
      <w:pPr>
        <w:numPr>
          <w:ilvl w:val="0"/>
          <w:numId w:val="1"/>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熟悉生物药物的科学管理规范</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4、掌握生物药物检验工作的基本程序及内容。</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【教学重难点】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 生物药物的性质与任务</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 药典与生物药物的质量标准</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 生物药物的质量科学管理</w:t>
      </w:r>
    </w:p>
    <w:p>
      <w:pPr>
        <w:spacing w:line="400" w:lineRule="exact"/>
        <w:outlineLvl w:val="0"/>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【教学内容】</w:t>
      </w:r>
    </w:p>
    <w:p>
      <w:pPr>
        <w:numPr>
          <w:ilvl w:val="0"/>
          <w:numId w:val="2"/>
        </w:num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药物分析的性质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1.药学的分支学科，是药学和分析学的交叉学科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2.包括药物的检验、药物稳定性、生物利用度、药物临床监测和生物药物检定等多方面的定性定量分析 </w:t>
      </w:r>
    </w:p>
    <w:p>
      <w:pPr>
        <w:numPr>
          <w:ilvl w:val="0"/>
          <w:numId w:val="2"/>
        </w:numPr>
        <w:tabs>
          <w:tab w:val="left" w:pos="611"/>
          <w:tab w:val="left" w:pos="720"/>
          <w:tab w:val="left" w:pos="791"/>
          <w:tab w:val="clear" w:pos="210"/>
        </w:tabs>
        <w:spacing w:line="400" w:lineRule="exact"/>
        <w:ind w:left="0" w:firstLine="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药物质量标准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1.药典是国家对药物质量标准及其检验方法所做的技术规定，是药物生产、监控、供应、使用及管理部门共同遵循的法令。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2.药典一般包括凡例、正文、附录、索引四部分 </w:t>
      </w:r>
    </w:p>
    <w:p>
      <w:pPr>
        <w:numPr>
          <w:ilvl w:val="0"/>
          <w:numId w:val="2"/>
        </w:num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药典（药物质量标准、分析方法）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1.药典是国家对药物质量标准及其检验方法所做的技术规定，是药物生产、监控、供应、使用及管理部门共同遵循的法令。 </w:t>
      </w:r>
    </w:p>
    <w:p>
      <w:pPr>
        <w:tabs>
          <w:tab w:val="left" w:pos="611"/>
          <w:tab w:val="left" w:pos="791"/>
        </w:tabs>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2.药典与分析方法 </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【教学过程】</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多媒体教学、重点难点案例教学</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教学具体过程（90分钟，学生出勤登记册下发签到作为平时上课考勤，下同不再列出）：</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59264" behindDoc="0" locked="0" layoutInCell="1" allowOverlap="1">
            <wp:simplePos x="0" y="0"/>
            <wp:positionH relativeFrom="column">
              <wp:posOffset>-17145</wp:posOffset>
            </wp:positionH>
            <wp:positionV relativeFrom="paragraph">
              <wp:posOffset>487045</wp:posOffset>
            </wp:positionV>
            <wp:extent cx="2769870" cy="1221105"/>
            <wp:effectExtent l="0" t="0" r="0" b="17145"/>
            <wp:wrapNone/>
            <wp:docPr id="1" name="对象 1"/>
            <wp:cNvGraphicFramePr/>
            <a:graphic xmlns:a="http://schemas.openxmlformats.org/drawingml/2006/main">
              <a:graphicData uri="http://schemas.openxmlformats.org/drawingml/2006/picture">
                <pic:pic xmlns:pic="http://schemas.openxmlformats.org/drawingml/2006/picture">
                  <pic:nvPicPr>
                    <pic:cNvPr id="1" name="对象 1"/>
                    <pic:cNvPicPr/>
                  </pic:nvPicPr>
                  <pic:blipFill>
                    <a:blip r:embed="rId6"/>
                    <a:srcRect l="-3691" t="-15608" r="-2507" b="-3574"/>
                    <a:stretch>
                      <a:fillRect/>
                    </a:stretch>
                  </pic:blipFill>
                  <pic:spPr>
                    <a:xfrm>
                      <a:off x="0" y="0"/>
                      <a:ext cx="2769870" cy="122110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t>本课程的开始首先出示生物药物分析相关教学幻灯片，展示具体的生产生活中的生物药物分析现象，</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0288" behindDoc="0" locked="0" layoutInCell="1" allowOverlap="1">
            <wp:simplePos x="0" y="0"/>
            <wp:positionH relativeFrom="column">
              <wp:posOffset>2926080</wp:posOffset>
            </wp:positionH>
            <wp:positionV relativeFrom="paragraph">
              <wp:posOffset>191770</wp:posOffset>
            </wp:positionV>
            <wp:extent cx="1741170" cy="1008380"/>
            <wp:effectExtent l="0" t="0" r="11430" b="1270"/>
            <wp:wrapNone/>
            <wp:docPr id="2" name="对象 2"/>
            <wp:cNvGraphicFramePr/>
            <a:graphic xmlns:a="http://schemas.openxmlformats.org/drawingml/2006/main">
              <a:graphicData uri="http://schemas.openxmlformats.org/drawingml/2006/picture">
                <pic:pic xmlns:pic="http://schemas.openxmlformats.org/drawingml/2006/picture">
                  <pic:nvPicPr>
                    <pic:cNvPr id="2" name="对象 2"/>
                    <pic:cNvPicPr/>
                  </pic:nvPicPr>
                  <pic:blipFill>
                    <a:blip r:embed="rId7"/>
                    <a:srcRect l="-5135" t="-287" r="-427" b="-3879"/>
                    <a:stretch>
                      <a:fillRect/>
                    </a:stretch>
                  </pic:blipFill>
                  <pic:spPr>
                    <a:xfrm>
                      <a:off x="0" y="0"/>
                      <a:ext cx="1741170" cy="1008380"/>
                    </a:xfrm>
                    <a:prstGeom prst="rect">
                      <a:avLst/>
                    </a:prstGeom>
                    <a:noFill/>
                    <a:ln w="9525">
                      <a:noFill/>
                    </a:ln>
                  </pic:spPr>
                </pic:pic>
              </a:graphicData>
            </a:graphic>
          </wp:anchor>
        </w:drawing>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这些现象的发生是因为药物生产和销售等领域监管不达到所致。由此引出本科讲述的内容：药物质量标准：</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药典是国家对药物质量标准及其检验方法所做的技术规定，是药物生产、监控、供应、使用及管理部门共同遵循的法令。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药典一般包括凡例、正文、附录、索引四部分</w:t>
      </w:r>
      <w:r>
        <w:rPr>
          <w:rFonts w:hint="default" w:ascii="Times New Roman" w:hAnsi="Times New Roman" w:cs="Times New Roman" w:eastAsiaTheme="minorEastAsia"/>
          <w:color w:val="000000" w:themeColor="text1"/>
          <w:szCs w:val="21"/>
          <w14:textFill>
            <w14:solidFill>
              <w14:schemeClr w14:val="tx1"/>
            </w14:solidFill>
          </w14:textFill>
        </w:rPr>
        <w:t>。</w:t>
      </w:r>
    </w:p>
    <w:p>
      <w:pPr>
        <w:spacing w:line="400" w:lineRule="exact"/>
        <w:ind w:firstLine="315" w:firstLineChars="15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以乙酸乙酯为例讲述药物的分析方法和步骤：</w:t>
      </w:r>
    </w:p>
    <w:p>
      <w:pPr>
        <w:spacing w:line="400" w:lineRule="exact"/>
        <w:ind w:firstLine="315" w:firstLineChars="15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1312" behindDoc="0" locked="0" layoutInCell="1" allowOverlap="1">
            <wp:simplePos x="0" y="0"/>
            <wp:positionH relativeFrom="column">
              <wp:posOffset>-35560</wp:posOffset>
            </wp:positionH>
            <wp:positionV relativeFrom="paragraph">
              <wp:posOffset>106680</wp:posOffset>
            </wp:positionV>
            <wp:extent cx="4470400" cy="3120390"/>
            <wp:effectExtent l="0" t="0" r="6350" b="3810"/>
            <wp:wrapNone/>
            <wp:docPr id="3" name="图片 83" descr="图片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83" descr="图片1"/>
                    <pic:cNvPicPr>
                      <a:picLocks noChangeAspect="1"/>
                    </pic:cNvPicPr>
                  </pic:nvPicPr>
                  <pic:blipFill>
                    <a:blip r:embed="rId8"/>
                    <a:stretch>
                      <a:fillRect/>
                    </a:stretch>
                  </pic:blipFill>
                  <pic:spPr>
                    <a:xfrm>
                      <a:off x="0" y="0"/>
                      <a:ext cx="4470400" cy="3120390"/>
                    </a:xfrm>
                    <a:prstGeom prst="rect">
                      <a:avLst/>
                    </a:prstGeom>
                    <a:noFill/>
                    <a:ln w="9525">
                      <a:noFill/>
                    </a:ln>
                  </pic:spPr>
                </pic:pic>
              </a:graphicData>
            </a:graphic>
          </wp:anchor>
        </w:drawing>
      </w:r>
    </w:p>
    <w:p>
      <w:pPr>
        <w:spacing w:line="400" w:lineRule="exact"/>
        <w:ind w:firstLine="315" w:firstLineChars="150"/>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2336" behindDoc="0" locked="0" layoutInCell="1" allowOverlap="1">
            <wp:simplePos x="0" y="0"/>
            <wp:positionH relativeFrom="column">
              <wp:posOffset>22860</wp:posOffset>
            </wp:positionH>
            <wp:positionV relativeFrom="paragraph">
              <wp:posOffset>179070</wp:posOffset>
            </wp:positionV>
            <wp:extent cx="3429000" cy="1805940"/>
            <wp:effectExtent l="0" t="0" r="0" b="0"/>
            <wp:wrapNone/>
            <wp:docPr id="4" name="图片 82" descr="图片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82" descr="图片2"/>
                    <pic:cNvPicPr>
                      <a:picLocks noChangeAspect="1"/>
                    </pic:cNvPicPr>
                  </pic:nvPicPr>
                  <pic:blipFill>
                    <a:blip r:embed="rId9"/>
                    <a:stretch>
                      <a:fillRect/>
                    </a:stretch>
                  </pic:blipFill>
                  <pic:spPr>
                    <a:xfrm>
                      <a:off x="0" y="0"/>
                      <a:ext cx="3429000" cy="180594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结合ppt讲述生物药物的科学管理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GLP《良好药物实验研究规范》</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GMP《良好药品生产规范》</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GSP《良好药品供应规范》</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GCP《良好药品临床试验规范》</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及生物药物检验工作的基本程序及内容</w:t>
      </w:r>
    </w:p>
    <w:p>
      <w:pPr>
        <w:numPr>
          <w:ilvl w:val="0"/>
          <w:numId w:val="3"/>
        </w:num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生物药物的分析检验 </w:t>
      </w:r>
    </w:p>
    <w:p>
      <w:pPr>
        <w:numPr>
          <w:ilvl w:val="0"/>
          <w:numId w:val="3"/>
        </w:num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药物的取样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药物的鉴别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药物的杂质检查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药物的安全性检查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药物的含量（效价）测定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检查报告的书写 .结合具体的事例介绍检查报告的书写。</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
          <w:bCs/>
          <w:color w:val="000000" w:themeColor="text1"/>
          <w:szCs w:val="21"/>
          <w14:textFill>
            <w14:solidFill>
              <w14:schemeClr w14:val="tx1"/>
            </w14:solidFill>
          </w14:textFill>
        </w:rPr>
        <w:t>2.药物的鉴别</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药鉴别目的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判断药物的真伪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药物鉴别的特点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药物分析的首要任务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为已知药物的确证试验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个别分析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化学鉴别试验要有明确的现象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鉴别试验条件要准确 </w:t>
      </w:r>
    </w:p>
    <w:p>
      <w:pPr>
        <w:spacing w:line="400" w:lineRule="exact"/>
        <w:ind w:firstLine="420" w:firstLineChars="20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在对生物药物分析主要内容进行讲解的过程中需要根据讲课的进度来调控多媒体课件的出示快慢和节奏，引入的日常生活现象须紧密贴近课堂的内容，尤其要为突破重难点服务，分别从微观到宏观，从理论到具体，从静态到动态多个角度分析和解释生物药物分析研究的主要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pStyle w:val="6"/>
        <w:spacing w:line="400" w:lineRule="exact"/>
        <w:ind w:left="0" w:leftChars="0"/>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授课过程</w:t>
      </w:r>
    </w:p>
    <w:tbl>
      <w:tblPr>
        <w:tblStyle w:val="1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819"/>
        <w:gridCol w:w="1409"/>
        <w:gridCol w:w="1186"/>
        <w:gridCol w:w="1421"/>
        <w:gridCol w:w="14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bookmarkStart w:id="0" w:name="OLE_LINK1"/>
            <w:r>
              <w:rPr>
                <w:rFonts w:hint="default" w:ascii="Times New Roman" w:hAnsi="Times New Roman" w:cs="Times New Roman" w:eastAsiaTheme="minorEastAsia"/>
                <w:b/>
                <w:color w:val="000000" w:themeColor="text1"/>
                <w:sz w:val="24"/>
                <w14:textFill>
                  <w14:solidFill>
                    <w14:schemeClr w14:val="tx1"/>
                  </w14:solidFill>
                </w14:textFill>
              </w:rPr>
              <w:t>授课题目</w:t>
            </w:r>
          </w:p>
        </w:tc>
        <w:tc>
          <w:tcPr>
            <w:tcW w:w="3228"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第</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二</w:t>
            </w:r>
            <w:r>
              <w:rPr>
                <w:rFonts w:hint="default" w:ascii="Times New Roman" w:hAnsi="Times New Roman" w:cs="Times New Roman" w:eastAsiaTheme="minorEastAsia"/>
                <w:color w:val="000000" w:themeColor="text1"/>
                <w:sz w:val="24"/>
                <w14:textFill>
                  <w14:solidFill>
                    <w14:schemeClr w14:val="tx1"/>
                  </w14:solidFill>
                </w14:textFill>
              </w:rPr>
              <w:t>章</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生物药物的杂质检查</w:t>
            </w:r>
          </w:p>
        </w:tc>
        <w:tc>
          <w:tcPr>
            <w:tcW w:w="118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授课日期</w:t>
            </w:r>
          </w:p>
        </w:tc>
        <w:tc>
          <w:tcPr>
            <w:tcW w:w="2842"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202</w:t>
            </w:r>
            <w:r>
              <w:rPr>
                <w:rFonts w:hint="default" w:ascii="Times New Roman" w:hAnsi="Times New Roman" w:cs="Times New Roman" w:eastAsiaTheme="minorEastAsia"/>
                <w:b/>
                <w:color w:val="000000" w:themeColor="text1"/>
                <w:sz w:val="24"/>
                <w:lang w:eastAsia="zh-CN"/>
                <w14:textFill>
                  <w14:solidFill>
                    <w14:schemeClr w14:val="tx1"/>
                  </w14:solidFill>
                </w14:textFill>
              </w:rPr>
              <w:t>4</w:t>
            </w:r>
            <w:r>
              <w:rPr>
                <w:rFonts w:hint="default" w:ascii="Times New Roman" w:hAnsi="Times New Roman" w:cs="Times New Roman" w:eastAsiaTheme="minorEastAsia"/>
                <w:b/>
                <w:color w:val="000000" w:themeColor="text1"/>
                <w:sz w:val="24"/>
                <w14:textFill>
                  <w14:solidFill>
                    <w14:schemeClr w14:val="tx1"/>
                  </w14:solidFill>
                </w14:textFill>
              </w:rPr>
              <w:t>年3月</w:t>
            </w:r>
            <w:r>
              <w:rPr>
                <w:rFonts w:hint="default" w:ascii="Times New Roman" w:hAnsi="Times New Roman" w:cs="Times New Roman" w:eastAsiaTheme="minorEastAsia"/>
                <w:b/>
                <w:color w:val="000000" w:themeColor="text1"/>
                <w:sz w:val="24"/>
                <w:lang w:val="en-US" w:eastAsia="zh-CN"/>
                <w14:textFill>
                  <w14:solidFill>
                    <w14:schemeClr w14:val="tx1"/>
                  </w14:solidFill>
                </w14:textFill>
              </w:rPr>
              <w:t>13</w:t>
            </w:r>
            <w:r>
              <w:rPr>
                <w:rFonts w:hint="default" w:ascii="Times New Roman" w:hAnsi="Times New Roman" w:cs="Times New Roman" w:eastAsiaTheme="minorEastAsia"/>
                <w:b/>
                <w:color w:val="000000" w:themeColor="text1"/>
                <w:sz w:val="24"/>
                <w:lang w:eastAsia="zh-CN"/>
                <w14:textFill>
                  <w14:solidFill>
                    <w14:schemeClr w14:val="tx1"/>
                  </w14:solidFill>
                </w14:textFill>
              </w:rPr>
              <w:t>、</w:t>
            </w:r>
            <w:r>
              <w:rPr>
                <w:rFonts w:hint="default" w:ascii="Times New Roman" w:hAnsi="Times New Roman" w:cs="Times New Roman" w:eastAsiaTheme="minorEastAsia"/>
                <w:b/>
                <w:color w:val="000000" w:themeColor="text1"/>
                <w:sz w:val="24"/>
                <w:lang w:val="en-US" w:eastAsia="zh-CN"/>
                <w14:textFill>
                  <w14:solidFill>
                    <w14:schemeClr w14:val="tx1"/>
                  </w14:solidFill>
                </w14:textFill>
              </w:rPr>
              <w:t>18</w:t>
            </w:r>
            <w:r>
              <w:rPr>
                <w:rFonts w:hint="default" w:ascii="Times New Roman" w:hAnsi="Times New Roman" w:cs="Times New Roman" w:eastAsiaTheme="minorEastAsia"/>
                <w:b/>
                <w:color w:val="000000" w:themeColor="text1"/>
                <w:sz w:val="24"/>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授课班级</w:t>
            </w:r>
          </w:p>
        </w:tc>
        <w:tc>
          <w:tcPr>
            <w:tcW w:w="1819"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409"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授课时数</w:t>
            </w:r>
          </w:p>
        </w:tc>
        <w:tc>
          <w:tcPr>
            <w:tcW w:w="1186"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eastAsia="zh-CN"/>
                <w14:textFill>
                  <w14:solidFill>
                    <w14:schemeClr w14:val="tx1"/>
                  </w14:solidFill>
                </w14:textFill>
              </w:rPr>
              <w:t>3</w:t>
            </w:r>
          </w:p>
        </w:tc>
        <w:tc>
          <w:tcPr>
            <w:tcW w:w="1421"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授课方式</w:t>
            </w:r>
          </w:p>
        </w:tc>
        <w:tc>
          <w:tcPr>
            <w:tcW w:w="1421"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理论课</w:t>
            </w:r>
          </w:p>
        </w:tc>
      </w:tr>
      <w:bookmarkEnd w:id="0"/>
    </w:tbl>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【教学目标】</w:t>
      </w:r>
    </w:p>
    <w:p>
      <w:pPr>
        <w:spacing w:line="360" w:lineRule="exact"/>
        <w:ind w:left="-24"/>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一  生物药物的杂质及其来源</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1、理解药物杂质的概念</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2、了解药物杂质的来源</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二  生物药物中杂质检查的要求及限量计算</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1、掌握杂质限量的概念</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2、了解杂质限量检查的要求及特点</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三  生物药物中杂质检查的原理</w:t>
      </w:r>
    </w:p>
    <w:p>
      <w:pPr>
        <w:spacing w:line="360" w:lineRule="exact"/>
        <w:ind w:firstLine="315" w:firstLineChars="1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理解生物药物与杂质在理化生方面的差异进行检查的原理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四  一般杂质检查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1、掌握一般杂质检查的规则</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2、熟悉氯化物、硫酸盐、铁盐、重金属盐、砷盐等检查方法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3、了解酸碱度、澄清度、易炭化物等检查方法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4、理解费休法测水分的原理。</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【教学重难点】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重点：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1）生物药物杂质及其来源</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2）一般杂质检查：氯化物检查法；溶液澄清度检查法；</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3）特殊杂质检查及安全性质检查：异常毒性检查法；</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难点：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1）生物药物杂质检查的要求及限量计算</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2）生物药物杂质的检查原理</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1、生物药物的杂质及其来源</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2、生物药物中杂质检查的要求及限量计算</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3、生物药物中杂质检查的原理：（1）利用生物药物和杂质在物理性质的差异；（2）利用生物药物和杂质在化学性质的差异；</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一般杂质检查：（1）氯化物检查法；（2）硫酸盐检查法；（3）铁盐检查法；（4）重金属检查法；（5）砷盐检查法；（6）酸碱度检查法；（7）溶液澄清度检查法；（8）溶液颜色检查法；（9）易碳化物检查法；（10）残渣；（11）干燥失重检查法；（12）水分检查法。</w:t>
      </w:r>
    </w:p>
    <w:p>
      <w:pPr>
        <w:spacing w:line="360" w:lineRule="exact"/>
        <w:rPr>
          <w:rFonts w:hint="default" w:ascii="Times New Roman" w:hAnsi="Times New Roman" w:cs="Times New Roman" w:eastAsiaTheme="minorEastAsia"/>
          <w:szCs w:val="21"/>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【教学过程】</w:t>
      </w:r>
    </w:p>
    <w:p>
      <w:pPr>
        <w:spacing w:line="400" w:lineRule="exact"/>
        <w:ind w:firstLine="525" w:firstLineChars="2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对生物药物分析整本教材内容进行总述性介绍：生物药物分析的内容可以分为三个大的部分，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第一篇  生物药物分析学概述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第二篇  常用生物药物分析方法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第三篇  各类生物药物的分析检验 </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我们会在以后的章节中逐</w:t>
      </w:r>
      <w:r>
        <w:rPr>
          <w:rFonts w:hint="default" w:ascii="Times New Roman" w:hAnsi="Times New Roman" w:cs="Times New Roman" w:eastAsiaTheme="minorEastAsia"/>
          <w:bCs/>
          <w:color w:val="000000" w:themeColor="text1"/>
          <w14:textFill>
            <w14:solidFill>
              <w14:schemeClr w14:val="tx1"/>
            </w14:solidFill>
          </w14:textFill>
        </w:rPr>
        <w:t>步学习</w:t>
      </w:r>
      <w:r>
        <w:rPr>
          <w:rFonts w:hint="default" w:ascii="Times New Roman" w:hAnsi="Times New Roman" w:cs="Times New Roman" w:eastAsiaTheme="minorEastAsia"/>
          <w:b/>
          <w:bCs/>
          <w:color w:val="000000" w:themeColor="text1"/>
          <w14:textFill>
            <w14:solidFill>
              <w14:schemeClr w14:val="tx1"/>
            </w14:solidFill>
          </w14:textFill>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首先对生物药物的杂质进行系统的介绍：</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1.杂质及其来源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药物中无治疗作用，或影响药物的稳定型和疗效，甚至对人体健康有害的物质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药物纯度和一般化学品及试剂的要求不同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生产过程引入杂质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2.杂质的种类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按性质分为影响药物稳定性的杂质、毒性杂质和信号杂质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按来源分为一般杂质和特殊杂质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3.杂质检查的原理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利用生物药物和杂质在物理性质上的差异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利用生物药物和杂质在化学性质上的差异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4.药物的杂质检查方法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1）对照法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限量检查法 （Limit Test）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特点：不需知道杂质的准确含量</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在供试品溶液中加入试剂，在一定反应条件下，不得有正反应出现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特点：不需对照品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2）比较法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含量测定法：测定杂质的绝对含量，如测定吸收度、pH值等。</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特点：准确测定杂质的量，不需对照品 </w:t>
      </w:r>
    </w:p>
    <w:p>
      <w:pPr>
        <w:tabs>
          <w:tab w:val="left" w:pos="611"/>
          <w:tab w:val="left" w:pos="791"/>
        </w:tabs>
        <w:spacing w:line="400" w:lineRule="exact"/>
        <w:rPr>
          <w:rFonts w:hint="default" w:ascii="Times New Roman" w:hAnsi="Times New Roman" w:cs="Times New Roman" w:eastAsiaTheme="minorEastAsia"/>
          <w:b/>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szCs w:val="21"/>
          <w14:textFill>
            <w14:solidFill>
              <w14:schemeClr w14:val="tx1"/>
            </w14:solidFill>
          </w14:textFill>
        </w:rPr>
        <w:t>一般杂质检查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1.一般杂质检查规则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《药品检验操作标准》规定：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2.遵循平行操作原则</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仪器的配对性：如纳氏比色管应配对，刻度线高低相差不超过2mm，砷盐检查时导气管长度及孔的大小要一致</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对照品与供试品的同步操作</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正确的取样及供试品的称量范围  </w:t>
      </w:r>
      <w:r>
        <w:rPr>
          <w:rFonts w:hint="default" w:ascii="Times New Roman" w:hAnsi="Times New Roman" w:cs="Times New Roman" w:eastAsiaTheme="minorEastAsia"/>
          <w:color w:val="000000" w:themeColor="text1"/>
          <w14:textFill>
            <w14:solidFill>
              <w14:schemeClr w14:val="tx1"/>
            </w14:solidFill>
          </w14:textFill>
        </w:rPr>
        <w:sym w:font="Symbol" w:char="00A3"/>
      </w:r>
      <w:r>
        <w:rPr>
          <w:rFonts w:hint="default" w:ascii="Times New Roman" w:hAnsi="Times New Roman" w:cs="Times New Roman" w:eastAsiaTheme="minorEastAsia"/>
          <w:color w:val="000000" w:themeColor="text1"/>
          <w14:textFill>
            <w14:solidFill>
              <w14:schemeClr w14:val="tx1"/>
            </w14:solidFill>
          </w14:textFill>
        </w:rPr>
        <w:t xml:space="preserve">1g不超过±2%，＞1g不超过±1%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正确的比色、比浊方法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检查结果不符合规定或在限度边缘时应对供试管和对照管各复查二份 （到此课程进行30分钟）</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3.氯化物检查法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对照法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测定条件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 标准NaCl溶液 10</w:t>
      </w:r>
      <w:r>
        <w:rPr>
          <w:rFonts w:hint="default" w:ascii="Times New Roman" w:hAnsi="Times New Roman" w:cs="Times New Roman" w:eastAsiaTheme="minorEastAsia"/>
          <w:color w:val="000000" w:themeColor="text1"/>
          <w14:textFill>
            <w14:solidFill>
              <w14:schemeClr w14:val="tx1"/>
            </w14:solidFill>
          </w14:textFill>
        </w:rPr>
        <w:sym w:font="Symbol" w:char="006D"/>
      </w:r>
      <w:r>
        <w:rPr>
          <w:rFonts w:hint="default" w:ascii="Times New Roman" w:hAnsi="Times New Roman" w:cs="Times New Roman" w:eastAsiaTheme="minorEastAsia"/>
          <w:color w:val="000000" w:themeColor="text1"/>
          <w14:textFill>
            <w14:solidFill>
              <w14:schemeClr w14:val="tx1"/>
            </w14:solidFill>
          </w14:textFill>
        </w:rPr>
        <w:t>gCl</w:t>
      </w:r>
      <w:r>
        <w:rPr>
          <w:rFonts w:hint="default" w:ascii="Times New Roman" w:hAnsi="Times New Roman" w:cs="Times New Roman" w:eastAsiaTheme="minorEastAsia"/>
          <w:color w:val="000000" w:themeColor="text1"/>
          <w:vertAlign w:val="superscript"/>
          <w14:textFill>
            <w14:solidFill>
              <w14:schemeClr w14:val="tx1"/>
            </w14:solidFill>
          </w14:textFill>
        </w:rPr>
        <w:sym w:font="Symbol" w:char="002D"/>
      </w:r>
      <w:r>
        <w:rPr>
          <w:rFonts w:hint="default" w:ascii="Times New Roman" w:hAnsi="Times New Roman" w:cs="Times New Roman" w:eastAsiaTheme="minorEastAsia"/>
          <w:color w:val="000000" w:themeColor="text1"/>
          <w14:textFill>
            <w14:solidFill>
              <w14:schemeClr w14:val="tx1"/>
            </w14:solidFill>
          </w14:textFill>
        </w:rPr>
        <w:t>/ml，50ml溶液中含50～80</w:t>
      </w:r>
      <w:r>
        <w:rPr>
          <w:rFonts w:hint="default" w:ascii="Times New Roman" w:hAnsi="Times New Roman" w:cs="Times New Roman" w:eastAsiaTheme="minorEastAsia"/>
          <w:color w:val="000000" w:themeColor="text1"/>
          <w14:textFill>
            <w14:solidFill>
              <w14:schemeClr w14:val="tx1"/>
            </w14:solidFill>
          </w14:textFill>
        </w:rPr>
        <w:sym w:font="Symbol" w:char="006D"/>
      </w:r>
      <w:r>
        <w:rPr>
          <w:rFonts w:hint="default" w:ascii="Times New Roman" w:hAnsi="Times New Roman" w:cs="Times New Roman" w:eastAsiaTheme="minorEastAsia"/>
          <w:color w:val="000000" w:themeColor="text1"/>
          <w14:textFill>
            <w14:solidFill>
              <w14:schemeClr w14:val="tx1"/>
            </w14:solidFill>
          </w14:textFill>
        </w:rPr>
        <w:t>g的Cl</w:t>
      </w:r>
      <w:r>
        <w:rPr>
          <w:rFonts w:hint="default" w:ascii="Times New Roman" w:hAnsi="Times New Roman" w:cs="Times New Roman" w:eastAsiaTheme="minorEastAsia"/>
          <w:color w:val="000000" w:themeColor="text1"/>
          <w:vertAlign w:val="superscript"/>
          <w14:textFill>
            <w14:solidFill>
              <w14:schemeClr w14:val="tx1"/>
            </w14:solidFill>
          </w14:textFill>
        </w:rPr>
        <w:sym w:font="Symbol" w:char="002D"/>
      </w:r>
      <w:r>
        <w:rPr>
          <w:rFonts w:hint="default" w:ascii="Times New Roman" w:hAnsi="Times New Roman" w:cs="Times New Roman" w:eastAsiaTheme="minorEastAsia"/>
          <w:color w:val="000000" w:themeColor="text1"/>
          <w14:textFill>
            <w14:solidFill>
              <w14:schemeClr w14:val="tx1"/>
            </w14:solidFill>
          </w14:textFill>
        </w:rPr>
        <w:t>所显浑浊梯度明显，相当于标准NaCl溶液5～8ml。</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 反应需在硝酸酸性条件下进行，且以50ml供试溶液中含稀硝酸10ml为宜。</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同时引出如下问题（幻灯片给出）：</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3360" behindDoc="0" locked="0" layoutInCell="1" allowOverlap="1">
            <wp:simplePos x="0" y="0"/>
            <wp:positionH relativeFrom="column">
              <wp:posOffset>-43815</wp:posOffset>
            </wp:positionH>
            <wp:positionV relativeFrom="paragraph">
              <wp:posOffset>142875</wp:posOffset>
            </wp:positionV>
            <wp:extent cx="2806065" cy="1110615"/>
            <wp:effectExtent l="0" t="0" r="0" b="13335"/>
            <wp:wrapNone/>
            <wp:docPr id="5" name="对象 3"/>
            <wp:cNvGraphicFramePr/>
            <a:graphic xmlns:a="http://schemas.openxmlformats.org/drawingml/2006/main">
              <a:graphicData uri="http://schemas.openxmlformats.org/drawingml/2006/picture">
                <pic:pic xmlns:pic="http://schemas.openxmlformats.org/drawingml/2006/picture">
                  <pic:nvPicPr>
                    <pic:cNvPr id="5" name="对象 3"/>
                    <pic:cNvPicPr/>
                  </pic:nvPicPr>
                  <pic:blipFill>
                    <a:blip r:embed="rId10"/>
                    <a:srcRect l="-3072" t="-6136" r="-3351" b="-5176"/>
                    <a:stretch>
                      <a:fillRect/>
                    </a:stretch>
                  </pic:blipFill>
                  <pic:spPr>
                    <a:xfrm>
                      <a:off x="0" y="0"/>
                      <a:ext cx="2806065" cy="111061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 试剂：硝酸银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4. 供试液和对照液稀释后，再加硝酸银溶液，使生成白色浑浊而不是白色沉淀</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5. 避光、暗处放置5分钟后比浊，因氯化银见光易分解。</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6. 比浊方法：同置于黑色背景上，自上向下观察。</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7. 平行操作原则</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干扰及排除</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 若供试品有色，需经处理后方可检查。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（1）内消色法：倍量法，如枸橼酸铁铵中氯化物的检查。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（2）外消色法：如高锰酸钾中氯化物的检查， 可先加乙醇适量，使其还原褪色后再依，法检查。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 当有其它干扰物质存在时，必需在检查前除去</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（1）碘中氯化物的检查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（2）碘化物中氯化物的检查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（3）溴化物中氯化物的检查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3. 不溶于水的有机药物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（1）加水振摇，过滤，取滤液进行检查。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（2）加热，放冷，过滤，取滤液进行检查。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（3）溶于有机溶剂如稀乙醇、丙酮，可加稀乙醇或丙酮溶解后进行检查。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澄清度检查法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检查药物中的微量不溶性杂质，用作注射剂的原料药一般应作此项检查。</w:t>
      </w:r>
    </w:p>
    <w:p>
      <w:pPr>
        <w:numPr>
          <w:ilvl w:val="0"/>
          <w:numId w:val="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检查方法  对照法</w:t>
      </w:r>
    </w:p>
    <w:p>
      <w:pPr>
        <w:numPr>
          <w:ilvl w:val="0"/>
          <w:numId w:val="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浊度标准液的配制</w:t>
      </w:r>
    </w:p>
    <w:p>
      <w:pPr>
        <w:spacing w:line="400" w:lineRule="exact"/>
        <w:ind w:left="36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中国药典规定用浊度标准液作为澄清度检查的标准。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反应原理：乌洛托品在偏酸性条件下水解产生甲醛，甲醛与肼缩合生成甲醛腙，不溶于水，形成白色浑浊。</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1.00％硫酸肼溶液与10％乌洛托品溶液等量混合配制浊度标准贮备液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浊度标准原液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浊度标准液（5个级号）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3. 判断:药典中规定的“澄清”，指供试品溶液的澄清度相同于所用溶剂，或未超过0.5号浊度标准液。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4. 溶剂：水、酸、碱、有机溶剂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有机酸的碱金属盐类药物强调用“新沸过的冷水” </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有机溶剂残留量测定法：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 有机溶剂残留量测定法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是用以检查药物在生产过程中引入的有害有机溶剂，包括苯、氯仿、二氧六环、二氯甲烷、吡啶、甲苯及环氧乙烷。 </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2. 检查方法  中国药典采用气相色谱法检查残留有机溶剂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色谱条件：</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固定相：直径为0.25～0.18mm的二乙烯苯－乙基乙烯苯型高分子多孔小球</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载气：氮气</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检测器：氢火焰离子化检测器检测</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柱温：80～170℃</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色谱系统适用性试验</w:t>
      </w:r>
      <w:r>
        <w:rPr>
          <w:rFonts w:hint="default" w:ascii="Times New Roman" w:hAnsi="Times New Roman" w:cs="Times New Roman" w:eastAsiaTheme="minorEastAsia"/>
          <w:bCs/>
          <w:color w:val="000000" w:themeColor="text1"/>
          <w14:textFill>
            <w14:solidFill>
              <w14:schemeClr w14:val="tx1"/>
            </w14:solidFill>
          </w14:textFill>
        </w:rPr>
        <w:t>：中国药典规定，在残留溶剂测定前应作色谱系统适用性试验。</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tbl>
      <w:tblPr>
        <w:tblStyle w:val="13"/>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819"/>
        <w:gridCol w:w="1642"/>
        <w:gridCol w:w="1252"/>
        <w:gridCol w:w="1316"/>
        <w:gridCol w:w="12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授课题目</w:t>
            </w:r>
          </w:p>
        </w:tc>
        <w:tc>
          <w:tcPr>
            <w:tcW w:w="3461"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第</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三</w:t>
            </w:r>
            <w:r>
              <w:rPr>
                <w:rFonts w:hint="default" w:ascii="Times New Roman" w:hAnsi="Times New Roman" w:cs="Times New Roman" w:eastAsiaTheme="minorEastAsia"/>
                <w:color w:val="000000" w:themeColor="text1"/>
                <w:sz w:val="24"/>
                <w14:textFill>
                  <w14:solidFill>
                    <w14:schemeClr w14:val="tx1"/>
                  </w14:solidFill>
                </w14:textFill>
              </w:rPr>
              <w:t>章</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 xml:space="preserve"> </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生物药物的安全性检查</w:t>
            </w:r>
          </w:p>
        </w:tc>
        <w:tc>
          <w:tcPr>
            <w:tcW w:w="1252"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授课日期</w:t>
            </w:r>
          </w:p>
        </w:tc>
        <w:tc>
          <w:tcPr>
            <w:tcW w:w="2543"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202</w:t>
            </w:r>
            <w:r>
              <w:rPr>
                <w:rFonts w:hint="default" w:ascii="Times New Roman" w:hAnsi="Times New Roman" w:cs="Times New Roman" w:eastAsiaTheme="minorEastAsia"/>
                <w:b/>
                <w:color w:val="000000" w:themeColor="text1"/>
                <w:sz w:val="24"/>
                <w:lang w:eastAsia="zh-CN"/>
                <w14:textFill>
                  <w14:solidFill>
                    <w14:schemeClr w14:val="tx1"/>
                  </w14:solidFill>
                </w14:textFill>
              </w:rPr>
              <w:t>4</w:t>
            </w:r>
            <w:r>
              <w:rPr>
                <w:rFonts w:hint="default" w:ascii="Times New Roman" w:hAnsi="Times New Roman" w:cs="Times New Roman" w:eastAsiaTheme="minorEastAsia"/>
                <w:b/>
                <w:color w:val="000000" w:themeColor="text1"/>
                <w:sz w:val="24"/>
                <w14:textFill>
                  <w14:solidFill>
                    <w14:schemeClr w14:val="tx1"/>
                  </w14:solidFill>
                </w14:textFill>
              </w:rPr>
              <w:t>年3月</w:t>
            </w:r>
            <w:r>
              <w:rPr>
                <w:rFonts w:hint="default" w:ascii="Times New Roman" w:hAnsi="Times New Roman" w:cs="Times New Roman" w:eastAsiaTheme="minorEastAsia"/>
                <w:b/>
                <w:color w:val="000000" w:themeColor="text1"/>
                <w:sz w:val="24"/>
                <w:lang w:val="en-US" w:eastAsia="zh-CN"/>
                <w14:textFill>
                  <w14:solidFill>
                    <w14:schemeClr w14:val="tx1"/>
                  </w14:solidFill>
                </w14:textFill>
              </w:rPr>
              <w:t>20</w:t>
            </w:r>
            <w:r>
              <w:rPr>
                <w:rFonts w:hint="default" w:ascii="Times New Roman" w:hAnsi="Times New Roman" w:cs="Times New Roman" w:eastAsiaTheme="minorEastAsia"/>
                <w:b/>
                <w:color w:val="000000" w:themeColor="text1"/>
                <w:sz w:val="24"/>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授课班级</w:t>
            </w:r>
          </w:p>
        </w:tc>
        <w:tc>
          <w:tcPr>
            <w:tcW w:w="1819"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642"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授课时数</w:t>
            </w:r>
          </w:p>
        </w:tc>
        <w:tc>
          <w:tcPr>
            <w:tcW w:w="1252"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2</w:t>
            </w:r>
          </w:p>
        </w:tc>
        <w:tc>
          <w:tcPr>
            <w:tcW w:w="131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授课方式</w:t>
            </w:r>
          </w:p>
        </w:tc>
        <w:tc>
          <w:tcPr>
            <w:tcW w:w="1227"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理论课</w:t>
            </w:r>
          </w:p>
        </w:tc>
      </w:tr>
    </w:tbl>
    <w:p>
      <w:pPr>
        <w:adjustRightInd w:val="0"/>
        <w:snapToGrid w:val="0"/>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【教学目标】</w:t>
      </w:r>
    </w:p>
    <w:p>
      <w:pPr>
        <w:spacing w:line="360" w:lineRule="exact"/>
        <w:ind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一</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lang w:val="en-US" w:eastAsia="zh-CN"/>
        </w:rPr>
        <w:t>掌握生物药物安全性检查各种方法的原理</w:t>
      </w:r>
    </w:p>
    <w:p>
      <w:pPr>
        <w:spacing w:line="360" w:lineRule="exact"/>
        <w:ind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二</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lang w:val="en-US" w:eastAsia="zh-CN"/>
        </w:rPr>
        <w:t>熟悉生物药物安全性检查的范围、种类和具体方法</w:t>
      </w:r>
    </w:p>
    <w:p>
      <w:pPr>
        <w:spacing w:line="360" w:lineRule="exact"/>
        <w:ind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三</w:t>
      </w:r>
      <w:r>
        <w:rPr>
          <w:rFonts w:hint="default" w:ascii="Times New Roman" w:hAnsi="Times New Roman" w:cs="Times New Roman" w:eastAsiaTheme="minorEastAsia"/>
          <w:sz w:val="24"/>
          <w:szCs w:val="24"/>
          <w:lang w:eastAsia="zh-CN"/>
        </w:rPr>
        <w:t>、</w:t>
      </w:r>
      <w:r>
        <w:rPr>
          <w:rFonts w:hint="default" w:ascii="Times New Roman" w:hAnsi="Times New Roman" w:cs="Times New Roman" w:eastAsiaTheme="minorEastAsia"/>
          <w:sz w:val="24"/>
          <w:szCs w:val="24"/>
          <w:lang w:val="en-US" w:eastAsia="zh-CN"/>
        </w:rPr>
        <w:t>了解生物药物安全性检查的概念和意义</w:t>
      </w:r>
    </w:p>
    <w:p>
      <w:pPr>
        <w:spacing w:line="400" w:lineRule="exact"/>
        <w:rPr>
          <w:rFonts w:hint="default" w:ascii="Times New Roman" w:hAnsi="Times New Roman" w:cs="Times New Roman" w:eastAsiaTheme="minorEastAsia"/>
          <w:b/>
          <w:bCs/>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【教学重难点】</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重点：</w:t>
      </w:r>
    </w:p>
    <w:p>
      <w:p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1）</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生物药物安全性检查方法的原理</w:t>
      </w:r>
    </w:p>
    <w:p>
      <w:p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2）异常毒性检查法</w:t>
      </w:r>
      <w:r>
        <w:rPr>
          <w:rFonts w:hint="default" w:ascii="Times New Roman" w:hAnsi="Times New Roman" w:cs="Times New Roman" w:eastAsiaTheme="minorEastAsia"/>
          <w:color w:val="000000" w:themeColor="text1"/>
          <w:sz w:val="24"/>
          <w:szCs w:val="24"/>
          <w:lang w:eastAsia="zh-CN"/>
          <w14:textFill>
            <w14:solidFill>
              <w14:schemeClr w14:val="tx1"/>
            </w14:solidFill>
          </w14:textFill>
        </w:rPr>
        <w:t>、</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细菌内毒素检测法、过敏物质检查法、抗生素残留检测法</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难点：</w:t>
      </w:r>
    </w:p>
    <w:p>
      <w:pPr>
        <w:numPr>
          <w:ilvl w:val="0"/>
          <w:numId w:val="5"/>
        </w:num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生物药物</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安全性检查方法的原理</w:t>
      </w:r>
    </w:p>
    <w:p>
      <w:pPr>
        <w:numPr>
          <w:ilvl w:val="0"/>
          <w:numId w:val="5"/>
        </w:num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sz w:val="24"/>
          <w:szCs w:val="24"/>
          <w:lang w:val="en-US" w:eastAsia="zh-CN"/>
        </w:rPr>
        <w:t>熟悉生物药物安全性检查的范围、种类和具体方法</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【教学内容】</w:t>
      </w:r>
    </w:p>
    <w:p>
      <w:pPr>
        <w:spacing w:line="360" w:lineRule="exact"/>
        <w:ind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rPr>
        <w:t>1、</w:t>
      </w:r>
      <w:bookmarkStart w:id="1" w:name="OLE_LINK2"/>
      <w:r>
        <w:rPr>
          <w:rFonts w:hint="default" w:ascii="Times New Roman" w:hAnsi="Times New Roman" w:cs="Times New Roman" w:eastAsiaTheme="minorEastAsia"/>
          <w:sz w:val="24"/>
          <w:szCs w:val="24"/>
        </w:rPr>
        <w:t>生物药物</w:t>
      </w:r>
      <w:r>
        <w:rPr>
          <w:rFonts w:hint="default" w:ascii="Times New Roman" w:hAnsi="Times New Roman" w:cs="Times New Roman" w:eastAsiaTheme="minorEastAsia"/>
          <w:sz w:val="24"/>
          <w:szCs w:val="24"/>
          <w:lang w:val="en-US" w:eastAsia="zh-CN"/>
        </w:rPr>
        <w:t>安全性检查</w:t>
      </w:r>
      <w:bookmarkEnd w:id="1"/>
      <w:r>
        <w:rPr>
          <w:rFonts w:hint="default" w:ascii="Times New Roman" w:hAnsi="Times New Roman" w:cs="Times New Roman" w:eastAsiaTheme="minorEastAsia"/>
          <w:sz w:val="24"/>
          <w:szCs w:val="24"/>
          <w:lang w:val="en-US" w:eastAsia="zh-CN"/>
        </w:rPr>
        <w:t>的概念与意义</w:t>
      </w:r>
    </w:p>
    <w:p>
      <w:pPr>
        <w:spacing w:line="360" w:lineRule="exact"/>
        <w:ind w:firstLine="0" w:firstLineChars="0"/>
        <w:rPr>
          <w:rFonts w:hint="default" w:ascii="Times New Roman" w:hAnsi="Times New Roman" w:cs="Times New Roman" w:eastAsiaTheme="minorEastAsia"/>
          <w:sz w:val="24"/>
          <w:szCs w:val="24"/>
          <w:lang w:val="en-US"/>
        </w:rPr>
      </w:pPr>
      <w:r>
        <w:rPr>
          <w:rFonts w:hint="default" w:ascii="Times New Roman" w:hAnsi="Times New Roman" w:cs="Times New Roman" w:eastAsiaTheme="minorEastAsia"/>
          <w:sz w:val="24"/>
          <w:szCs w:val="24"/>
        </w:rPr>
        <w:t>2、生物药物</w:t>
      </w:r>
      <w:r>
        <w:rPr>
          <w:rFonts w:hint="default" w:ascii="Times New Roman" w:hAnsi="Times New Roman" w:cs="Times New Roman" w:eastAsiaTheme="minorEastAsia"/>
          <w:sz w:val="24"/>
          <w:szCs w:val="24"/>
          <w:lang w:val="en-US" w:eastAsia="zh-CN"/>
        </w:rPr>
        <w:t>安全性检查的原理</w:t>
      </w:r>
    </w:p>
    <w:p>
      <w:pPr>
        <w:spacing w:line="360" w:lineRule="exact"/>
        <w:rPr>
          <w:rFonts w:hint="default" w:ascii="Times New Roman" w:hAnsi="Times New Roman" w:cs="Times New Roman" w:eastAsiaTheme="minorEastAsia"/>
          <w:sz w:val="24"/>
          <w:szCs w:val="24"/>
          <w:lang w:eastAsia="zh-CN"/>
        </w:rPr>
      </w:pPr>
      <w:r>
        <w:rPr>
          <w:rFonts w:hint="default" w:ascii="Times New Roman" w:hAnsi="Times New Roman" w:cs="Times New Roman" w:eastAsiaTheme="minorEastAsia"/>
          <w:sz w:val="24"/>
          <w:szCs w:val="24"/>
        </w:rPr>
        <w:t>3、生物药物</w:t>
      </w:r>
      <w:r>
        <w:rPr>
          <w:rFonts w:hint="default" w:ascii="Times New Roman" w:hAnsi="Times New Roman" w:cs="Times New Roman" w:eastAsiaTheme="minorEastAsia"/>
          <w:sz w:val="24"/>
          <w:szCs w:val="24"/>
          <w:lang w:val="en-US" w:eastAsia="zh-CN"/>
        </w:rPr>
        <w:t>安全性检查具体方法：（1）</w:t>
      </w:r>
      <w:bookmarkStart w:id="2" w:name="OLE_LINK3"/>
      <w:r>
        <w:rPr>
          <w:rFonts w:hint="default" w:ascii="Times New Roman" w:hAnsi="Times New Roman" w:cs="Times New Roman" w:eastAsiaTheme="minorEastAsia"/>
          <w:sz w:val="24"/>
          <w:szCs w:val="24"/>
          <w:lang w:val="en-US" w:eastAsia="zh-CN"/>
        </w:rPr>
        <w:t>异常毒性检查法</w:t>
      </w:r>
      <w:bookmarkEnd w:id="2"/>
      <w:r>
        <w:rPr>
          <w:rFonts w:hint="default" w:ascii="Times New Roman" w:hAnsi="Times New Roman" w:cs="Times New Roman" w:eastAsiaTheme="minorEastAsia"/>
          <w:sz w:val="24"/>
          <w:szCs w:val="24"/>
          <w:lang w:val="en-US" w:eastAsia="zh-CN"/>
        </w:rPr>
        <w:t>、（2）热源检查法、（3）细菌内毒素检查法、（4）无菌检查法、（5）升压物质检查法、（6）降压物质检查法、（7）过敏物质检查法、（8）宿主细胞蛋白质检查法、（9）残留DNA检查法、（10）抗体检查法、（11）抗生素残留检查法。</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【教学过程】</w:t>
      </w:r>
    </w:p>
    <w:p>
      <w:pPr>
        <w:spacing w:line="400" w:lineRule="exact"/>
        <w:ind w:firstLine="600" w:firstLineChars="250"/>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对于生物药来讲，通常对其所含有的杂质进行检查。这些杂质虽然微小的存在于生物药物中，但对生物体能产生特殊的生理作用，严重影响用药安全，因此，必须对这些特殊杂质进行安全性分析和检查，即生物药物安全性检查。凡是新药上市前，世界各国都对其进行严格的药物安全性评价。但是由于目前还没有完全阐明这些能产生生理影响的杂质的化学结构和作用机制，所以一般采用实验动物进行检查。具体分析方法的原理、概念、范围、判定如下：</w:t>
      </w:r>
    </w:p>
    <w:p>
      <w:pPr>
        <w:spacing w:line="400" w:lineRule="exact"/>
        <w:ind w:firstLine="525" w:firstLineChars="25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一</w:t>
      </w:r>
      <w:bookmarkStart w:id="3" w:name="OLE_LINK4"/>
      <w:r>
        <w:rPr>
          <w:rFonts w:hint="default" w:ascii="Times New Roman" w:hAnsi="Times New Roman" w:cs="Times New Roman" w:eastAsiaTheme="minorEastAsia"/>
          <w:color w:val="000000" w:themeColor="text1"/>
          <w:lang w:val="en-US" w:eastAsia="zh-CN"/>
          <w14:textFill>
            <w14:solidFill>
              <w14:schemeClr w14:val="tx1"/>
            </w14:solidFill>
          </w14:textFill>
        </w:rPr>
        <w:t>、</w:t>
      </w:r>
      <w:r>
        <w:rPr>
          <w:rFonts w:hint="default" w:ascii="Times New Roman" w:hAnsi="Times New Roman" w:cs="Times New Roman" w:eastAsiaTheme="minorEastAsia"/>
          <w:sz w:val="24"/>
          <w:szCs w:val="24"/>
          <w:lang w:val="en-US" w:eastAsia="zh-CN"/>
        </w:rPr>
        <w:t>异常毒性检查法</w:t>
      </w:r>
      <w:bookmarkEnd w:id="3"/>
      <w:r>
        <w:rPr>
          <w:rFonts w:hint="default" w:ascii="Times New Roman" w:hAnsi="Times New Roman" w:cs="Times New Roman" w:eastAsiaTheme="minorEastAsia"/>
          <w:color w:val="000000" w:themeColor="text1"/>
          <w14:textFill>
            <w14:solidFill>
              <w14:schemeClr w14:val="tx1"/>
            </w14:solidFill>
          </w14:textFill>
        </w:rPr>
        <w:t xml:space="preserve"> </w:t>
      </w:r>
    </w:p>
    <w:p>
      <w:pPr>
        <w:spacing w:line="400" w:lineRule="exact"/>
        <w:ind w:firstLine="480" w:firstLineChars="200"/>
        <w:rPr>
          <w:rFonts w:hint="default" w:ascii="Times New Roman" w:hAnsi="Times New Roman" w:cs="Times New Roman" w:eastAsiaTheme="minorEastAsia"/>
          <w:color w:val="000000" w:themeColor="text1"/>
          <w:lang w:val="en-US"/>
          <w14:textFill>
            <w14:solidFill>
              <w14:schemeClr w14:val="tx1"/>
            </w14:solidFill>
          </w14:textFill>
        </w:rPr>
      </w:pPr>
      <w:r>
        <w:rPr>
          <w:rFonts w:hint="default" w:ascii="Times New Roman" w:hAnsi="Times New Roman" w:cs="Times New Roman" w:eastAsiaTheme="minorEastAsia"/>
          <w:sz w:val="24"/>
          <w:szCs w:val="24"/>
          <w:lang w:val="en-US" w:eastAsia="zh-CN"/>
        </w:rPr>
        <w:t>异常毒性检查法(test for abnormal toxicity)是对生物制品的非特异性毒性的通用安全试验，其目的是检查生物制品中是否含有外源性毒性物质污染以及是否存在意外的不安全因素</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异常毒性检查法是将一定剂量的供试品溶液注入小鼠体内或口服给药，在规定时间内观察小鼠死亡情况，以判定供试品是否符合规定的一种方法</w:t>
      </w:r>
    </w:p>
    <w:p>
      <w:pPr>
        <w:numPr>
          <w:ilvl w:val="-1"/>
          <w:numId w:val="0"/>
        </w:numPr>
        <w:spacing w:line="400" w:lineRule="exact"/>
        <w:ind w:left="0" w:firstLine="0" w:firstLineChars="0"/>
        <w:rPr>
          <w:rFonts w:hint="default" w:ascii="Times New Roman" w:hAnsi="Times New Roman" w:cs="Times New Roman" w:eastAsiaTheme="minorEastAsia"/>
          <w:sz w:val="24"/>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取上述小鼠5只,按各药品项下规定的给药途径，每只小鼠分别给予供试品溶液0.5ml。给药途径分为以下几种。</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静脉注射</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将供试品溶液注入小鼠尾静脉，应在4～5秒匀速注射完毕。</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腹腔注射</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将供试品溶液注入小鼠腹腔。</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皮下注射</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将供试品溶液注入小鼠腹部或背部两侧皮下。</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口服给药</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将供试品溶液通过适宜的导管，灌入小鼠胃中。</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3.判定结果</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全部小鼠在给药后48小时内不得有死亡；如有死亡时，应另取体重18～19g的小鼠10只复试，全部小鼠在48小时内不得有死亡</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bookmarkStart w:id="4" w:name="OLE_LINK7"/>
      <w:bookmarkStart w:id="5" w:name="OLE_LINK5"/>
      <w:r>
        <w:rPr>
          <w:rFonts w:hint="default" w:ascii="Times New Roman" w:hAnsi="Times New Roman" w:cs="Times New Roman" w:eastAsiaTheme="minorEastAsia"/>
          <w:sz w:val="24"/>
          <w:lang w:val="en-US" w:eastAsia="zh-CN"/>
        </w:rPr>
        <w:t>二、热原</w:t>
      </w:r>
      <w:r>
        <w:rPr>
          <w:rFonts w:hint="default" w:ascii="Times New Roman" w:hAnsi="Times New Roman" w:cs="Times New Roman" w:eastAsiaTheme="minorEastAsia"/>
          <w:sz w:val="24"/>
          <w:szCs w:val="24"/>
          <w:lang w:val="en-US" w:eastAsia="zh-CN"/>
        </w:rPr>
        <w:t>检查法</w:t>
      </w:r>
      <w:r>
        <w:rPr>
          <w:rFonts w:hint="default" w:ascii="Times New Roman" w:hAnsi="Times New Roman" w:cs="Times New Roman" w:eastAsiaTheme="minorEastAsia"/>
          <w:color w:val="000000" w:themeColor="text1"/>
          <w14:textFill>
            <w14:solidFill>
              <w14:schemeClr w14:val="tx1"/>
            </w14:solidFill>
          </w14:textFill>
        </w:rPr>
        <w:t xml:space="preserve"> </w:t>
      </w:r>
    </w:p>
    <w:p>
      <w:pPr>
        <w:spacing w:line="400" w:lineRule="exact"/>
        <w:ind w:firstLine="480" w:firstLineChars="200"/>
        <w:rPr>
          <w:rFonts w:hint="default" w:ascii="Times New Roman" w:hAnsi="Times New Roman" w:cs="Times New Roman" w:eastAsiaTheme="minorEastAsia"/>
          <w:color w:val="000000" w:themeColor="text1"/>
          <w:lang w:val="en-US"/>
          <w14:textFill>
            <w14:solidFill>
              <w14:schemeClr w14:val="tx1"/>
            </w14:solidFill>
          </w14:textFill>
        </w:rPr>
      </w:pPr>
      <w:r>
        <w:rPr>
          <w:rFonts w:hint="default" w:ascii="Times New Roman" w:hAnsi="Times New Roman" w:cs="Times New Roman" w:eastAsiaTheme="minorEastAsia"/>
          <w:sz w:val="24"/>
          <w:szCs w:val="24"/>
          <w:lang w:val="en-US" w:eastAsia="zh-CN"/>
        </w:rPr>
        <w:t>药品特别是抗生素、生物制品很容易产生污染热源。热原是能引起恒温动物体温异常升高的致热物质，包括细菌性热原、内源性高分子热原、内源性低分子热原及化学热原等。</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家兔对热原的反应与人类相似，因而将一定剂量的供试溶液，以静脉注射注入体内，在规定时间内对家兔体温升高情况进行观察，由此来判定药品所含热原是否符合规定。</w:t>
      </w:r>
    </w:p>
    <w:p>
      <w:pPr>
        <w:numPr>
          <w:ilvl w:val="-1"/>
          <w:numId w:val="0"/>
        </w:numPr>
        <w:spacing w:line="400" w:lineRule="exact"/>
        <w:ind w:left="0" w:firstLine="0" w:firstLineChars="0"/>
        <w:rPr>
          <w:rFonts w:hint="default" w:ascii="Times New Roman" w:hAnsi="Times New Roman" w:cs="Times New Roman" w:eastAsiaTheme="minorEastAsia"/>
          <w:sz w:val="24"/>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家兔致热试验法：这是一种灵敏度较高的方法，但操作较为繁琐和耗时。具体步骤包括选择合适的家兔（体重范围通常在1.7到3.0公斤之间）、保持适宜的温度环境（通常为室温17到25℃，温度变化不得超过3℃）以及进行必要的准备工作。实验过程中，将温热的药液通过耳静脉注入家兔体内，并每隔一定时间记录一次体温，直到达到预设的温度和时间标准。</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3.判定结果</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rPr>
        <w:t>如果家兔的体温升高符合一定的条件，则认为该物质可能是热原。</w:t>
      </w:r>
      <w:bookmarkEnd w:id="4"/>
    </w:p>
    <w:bookmarkEnd w:id="5"/>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lang w:val="en-US" w:eastAsia="zh-CN"/>
        </w:rPr>
        <w:t>三、细菌内毒素</w:t>
      </w:r>
      <w:r>
        <w:rPr>
          <w:rFonts w:hint="default" w:ascii="Times New Roman" w:hAnsi="Times New Roman" w:cs="Times New Roman" w:eastAsiaTheme="minorEastAsia"/>
          <w:sz w:val="24"/>
          <w:szCs w:val="24"/>
          <w:lang w:val="en-US" w:eastAsia="zh-CN"/>
        </w:rPr>
        <w:t>检查法</w:t>
      </w:r>
      <w:r>
        <w:rPr>
          <w:rFonts w:hint="default" w:ascii="Times New Roman" w:hAnsi="Times New Roman" w:cs="Times New Roman" w:eastAsiaTheme="minorEastAsia"/>
          <w:color w:val="000000" w:themeColor="text1"/>
          <w14:textFill>
            <w14:solidFill>
              <w14:schemeClr w14:val="tx1"/>
            </w14:solidFill>
          </w14:textFill>
        </w:rPr>
        <w:t xml:space="preserve"> </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细菌内毒素检查法</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test for bacterial endotoxin）系用鲎试剂与细菌内毒素产生凝集反应的机制，以判定供试药品中细菌内毒素是否符合规定。</w:t>
      </w:r>
    </w:p>
    <w:p>
      <w:pPr>
        <w:spacing w:line="400" w:lineRule="exact"/>
        <w:ind w:firstLine="480" w:firstLineChars="200"/>
        <w:rPr>
          <w:rFonts w:hint="default" w:ascii="Times New Roman" w:hAnsi="Times New Roman" w:cs="Times New Roman" w:eastAsiaTheme="minorEastAsia"/>
          <w:color w:val="000000" w:themeColor="text1"/>
          <w:lang w:val="en-US"/>
          <w14:textFill>
            <w14:solidFill>
              <w14:schemeClr w14:val="tx1"/>
            </w14:solidFill>
          </w14:textFill>
        </w:rPr>
      </w:pPr>
      <w:r>
        <w:rPr>
          <w:rFonts w:hint="default" w:ascii="Times New Roman" w:hAnsi="Times New Roman" w:cs="Times New Roman" w:eastAsiaTheme="minorEastAsia"/>
          <w:sz w:val="24"/>
        </w:rPr>
        <w:t>细菌内毒素检查法主要包括两种方法：凝胶法和光度测定法。凝胶法是</w:t>
      </w:r>
      <w:bookmarkStart w:id="6" w:name="OLE_LINK6"/>
      <w:r>
        <w:rPr>
          <w:rFonts w:hint="default" w:ascii="Times New Roman" w:hAnsi="Times New Roman" w:cs="Times New Roman" w:eastAsiaTheme="minorEastAsia"/>
          <w:sz w:val="24"/>
        </w:rPr>
        <w:t>利用鲎试剂与内毒素发生特异性反应的原理，通过观察反应产物的凝集情况来判断内毒素的存在与否</w:t>
      </w:r>
      <w:bookmarkEnd w:id="6"/>
      <w:r>
        <w:rPr>
          <w:rFonts w:hint="default" w:ascii="Times New Roman" w:hAnsi="Times New Roman" w:cs="Times New Roman" w:eastAsiaTheme="minorEastAsia"/>
          <w:sz w:val="24"/>
        </w:rPr>
        <w:t>。这种方法具有操作简便、结果可靠等优点，因此在临床上得到了广泛应用。光度测定法则是通过检测反应产物的光密度或荧光强度等参数来判断内毒素的含量，其敏感性较高，可用于微量内毒素的定量检测。</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利用鲎试剂与内毒素发生特异性反应的原理，通过观察反应产物的凝集情况来判断内毒素的存在与否，以判断供试品中内毒素限量是否符合规定</w:t>
      </w:r>
      <w:r>
        <w:rPr>
          <w:rFonts w:hint="default" w:ascii="Times New Roman" w:hAnsi="Times New Roman" w:cs="Times New Roman" w:eastAsiaTheme="minorEastAsia"/>
          <w:sz w:val="24"/>
          <w:lang w:eastAsia="zh-CN"/>
        </w:rPr>
        <w:t>。</w:t>
      </w:r>
    </w:p>
    <w:p>
      <w:pPr>
        <w:numPr>
          <w:ilvl w:val="-1"/>
          <w:numId w:val="0"/>
        </w:numPr>
        <w:spacing w:line="400" w:lineRule="exact"/>
        <w:ind w:left="0" w:firstLine="0" w:firstLineChars="0"/>
        <w:rPr>
          <w:rFonts w:hint="default" w:ascii="Times New Roman" w:hAnsi="Times New Roman" w:cs="Times New Roman" w:eastAsiaTheme="minorEastAsia"/>
          <w:sz w:val="24"/>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1、实验前准备</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试验所用的器皿须经处理，去除可能存在的外源性内毒素。耐热器皿用干热灭菌法（250℃、30min）去除；塑料器具置30%双氧水中浸泡4h，再用无热原水冲洗后于60℃烘干。</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2、鲎试剂灵敏度复核</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当使用新批号的鲎试剂或实验条件发生了任何可能影响检验结果的改变时，应进行鲎试剂灵敏度复核试验。</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（1）取内毒素工作标准品一支，用75%酒精棉擦拭安瓿颈，开启，开启过程应防止玻璃屑落入瓶内。</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（2）向内毒素工作标准品安瓿内加入1ml内毒素检查用水，在漩涡混合器上混匀15min，制成10EU/ml的内毒素标准溶液。</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（3）根据鲎试剂灵敏度标识值λ=0.015EU/ml，用内毒素检查用水将10EU/ml内毒素标准溶液稀释成2λ、λ、0.5λ、0.25λ四种浓度的内毒素标准溶液。具体操作步骤如下:</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szCs w:val="24"/>
        </w:rPr>
        <w:drawing>
          <wp:anchor distT="0" distB="0" distL="114300" distR="114300" simplePos="0" relativeHeight="251706368" behindDoc="0" locked="0" layoutInCell="1" allowOverlap="1">
            <wp:simplePos x="0" y="0"/>
            <wp:positionH relativeFrom="column">
              <wp:posOffset>508635</wp:posOffset>
            </wp:positionH>
            <wp:positionV relativeFrom="paragraph">
              <wp:posOffset>66675</wp:posOffset>
            </wp:positionV>
            <wp:extent cx="3990340" cy="1369695"/>
            <wp:effectExtent l="0" t="0" r="635" b="1905"/>
            <wp:wrapTopAndBottom/>
            <wp:docPr id="58" name="图片 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2" descr="IMG_256"/>
                    <pic:cNvPicPr>
                      <a:picLocks noChangeAspect="1"/>
                    </pic:cNvPicPr>
                  </pic:nvPicPr>
                  <pic:blipFill>
                    <a:blip r:embed="rId11"/>
                    <a:stretch>
                      <a:fillRect/>
                    </a:stretch>
                  </pic:blipFill>
                  <pic:spPr>
                    <a:xfrm>
                      <a:off x="0" y="0"/>
                      <a:ext cx="3990340" cy="1369695"/>
                    </a:xfrm>
                    <a:prstGeom prst="rect">
                      <a:avLst/>
                    </a:prstGeom>
                    <a:noFill/>
                    <a:ln w="9525">
                      <a:noFill/>
                    </a:ln>
                  </pic:spPr>
                </pic:pic>
              </a:graphicData>
            </a:graphic>
          </wp:anchor>
        </w:drawing>
      </w:r>
      <w:r>
        <w:rPr>
          <w:rFonts w:hint="default" w:ascii="Times New Roman" w:hAnsi="Times New Roman" w:cs="Times New Roman" w:eastAsiaTheme="minorEastAsia"/>
          <w:sz w:val="24"/>
        </w:rPr>
        <w:t>（4）取0.1ml/支的鲎试剂原安瓿18支，其中16支分别加入0.1ml不同浓度的内毒素标准溶液，每个内毒素浓度平行做4支；另外两只各加入0.1ml细菌内毒素检查用水作为阴性对照。</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(5)  将各瓶中溶液轻轻混匀后，封闭瓶口，垂直放入37℃±1℃的恒温器中，孵育60min±2min。</w:t>
      </w:r>
    </w:p>
    <w:p>
      <w:pPr>
        <w:numPr>
          <w:ilvl w:val="-1"/>
          <w:numId w:val="0"/>
        </w:numPr>
        <w:spacing w:line="400" w:lineRule="exact"/>
        <w:ind w:left="0" w:firstLine="480" w:firstLineChars="200"/>
        <w:rPr>
          <w:rFonts w:hint="default" w:ascii="Times New Roman" w:hAnsi="Times New Roman" w:cs="Times New Roman" w:eastAsiaTheme="minorEastAsia"/>
          <w:sz w:val="24"/>
          <w:lang w:eastAsia="zh-CN"/>
        </w:rPr>
      </w:pPr>
      <w:r>
        <w:rPr>
          <w:rFonts w:hint="default" w:ascii="Times New Roman" w:hAnsi="Times New Roman" w:cs="Times New Roman" w:eastAsiaTheme="minorEastAsia"/>
          <w:sz w:val="24"/>
        </w:rPr>
        <w:t>(6)  将安瓿从恒温器中轻轻取出，缓缓倒转180°。若管内形成凝胶并且凝胶不变形、不从管壁脱落者为阳性；未形成凝胶或形成的凝胶不坚实、变形并从管壁脱落者为阴性。记录结果</w:t>
      </w:r>
      <w:r>
        <w:rPr>
          <w:rFonts w:hint="default" w:ascii="Times New Roman" w:hAnsi="Times New Roman" w:cs="Times New Roman" w:eastAsiaTheme="minorEastAsia"/>
          <w:sz w:val="24"/>
          <w:lang w:eastAsia="zh-CN"/>
        </w:rPr>
        <w:t>。</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3.判定结果</w:t>
      </w:r>
    </w:p>
    <w:p>
      <w:pPr>
        <w:spacing w:line="400" w:lineRule="exact"/>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 xml:space="preserve"> </w:t>
      </w:r>
      <w:r>
        <w:rPr>
          <w:rFonts w:hint="default" w:ascii="Times New Roman" w:hAnsi="Times New Roman" w:cs="Times New Roman" w:eastAsiaTheme="minorEastAsia"/>
          <w:sz w:val="24"/>
          <w:lang w:val="en-US" w:eastAsia="zh-CN"/>
        </w:rPr>
        <w:t xml:space="preserve">   当</w:t>
      </w:r>
      <w:r>
        <w:rPr>
          <w:rFonts w:hint="default" w:ascii="Times New Roman" w:hAnsi="Times New Roman" w:cs="Times New Roman" w:eastAsiaTheme="minorEastAsia"/>
          <w:sz w:val="24"/>
        </w:rPr>
        <w:t>最大浓度2λ管均为阳性，最低浓度0.25λ均为阴性，阴性对照管为阴性，试验方法有效。按下式就算反应终点浓度的几何平均值即为鲎试剂灵敏度的测定值λc。</w:t>
      </w:r>
    </w:p>
    <w:p>
      <w:pPr>
        <w:spacing w:line="400" w:lineRule="exact"/>
        <w:rPr>
          <w:rFonts w:hint="default" w:ascii="Times New Roman" w:hAnsi="Times New Roman" w:cs="Times New Roman" w:eastAsiaTheme="minorEastAsia"/>
          <w:sz w:val="24"/>
        </w:rPr>
      </w:pPr>
      <w:r>
        <w:rPr>
          <w:rFonts w:hint="default" w:ascii="Times New Roman" w:hAnsi="Times New Roman" w:cs="Times New Roman" w:eastAsiaTheme="minorEastAsia"/>
          <w:sz w:val="24"/>
        </w:rPr>
        <w:t>λc=lg-1(∑X/n）</w:t>
      </w:r>
    </w:p>
    <w:p>
      <w:pPr>
        <w:spacing w:line="400" w:lineRule="exact"/>
        <w:rPr>
          <w:rFonts w:hint="default" w:ascii="Times New Roman" w:hAnsi="Times New Roman" w:cs="Times New Roman" w:eastAsiaTheme="minorEastAsia"/>
          <w:sz w:val="24"/>
        </w:rPr>
      </w:pPr>
      <w:r>
        <w:rPr>
          <w:rFonts w:hint="default" w:ascii="Times New Roman" w:hAnsi="Times New Roman" w:cs="Times New Roman" w:eastAsiaTheme="minorEastAsia"/>
          <w:sz w:val="24"/>
        </w:rPr>
        <w:t>式中：X为反应终点浓度的对数值（lg)。反应终点浓度，指系列递减的内毒素浓度中最后一个呈阳性的浓度。n=4（每个浓度的平行管数）。</w:t>
      </w:r>
    </w:p>
    <w:p>
      <w:pPr>
        <w:spacing w:line="400" w:lineRule="exact"/>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sz w:val="24"/>
        </w:rPr>
        <w:t>当λc在0.5～2λ（包括0.5λ和2λ）时，判定该批鲎试剂可用于细菌内毒素检测，并以标示灵敏度为该批试剂的灵敏度</w:t>
      </w:r>
      <w:r>
        <w:rPr>
          <w:rFonts w:hint="default" w:ascii="Times New Roman" w:hAnsi="Times New Roman" w:cs="Times New Roman" w:eastAsiaTheme="minorEastAsia"/>
          <w:sz w:val="24"/>
          <w:lang w:eastAsia="zh-CN"/>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lang w:val="en-US" w:eastAsia="zh-CN"/>
        </w:rPr>
        <w:t>四、无菌检查法</w:t>
      </w:r>
      <w:r>
        <w:rPr>
          <w:rFonts w:hint="default" w:ascii="Times New Roman" w:hAnsi="Times New Roman" w:cs="Times New Roman" w:eastAsiaTheme="minorEastAsia"/>
          <w:color w:val="000000" w:themeColor="text1"/>
          <w14:textFill>
            <w14:solidFill>
              <w14:schemeClr w14:val="tx1"/>
            </w14:solidFill>
          </w14:textFill>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无菌检查法系指检查药品、敷料、缝合线、无菌器具及适用于药典要求无菌检查的其他品种是否无菌的一种方法。无菌检查在洁净度A级单向流空气区域或隔离系统内进行，其全过程应严格遵守无菌操作，防止微生物污染。单向流空气区与工作台面，必须进行洁净度验证。生物制品的无菌检查，应按《中国生物制品规程》中有关无菌检查的规定办理</w:t>
      </w:r>
      <w:r>
        <w:rPr>
          <w:rFonts w:hint="default" w:ascii="Times New Roman" w:hAnsi="Times New Roman" w:cs="Times New Roman" w:eastAsiaTheme="minorEastAsia"/>
          <w:sz w:val="24"/>
          <w:lang w:eastAsia="zh-CN"/>
        </w:rPr>
        <w:t>。</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spacing w:line="400" w:lineRule="exact"/>
        <w:ind w:firstLine="480" w:firstLineChars="20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无菌检查法（test for sterility）是用于检查药典中要求无菌的生物制品、医疗器具、原料、辅料及其他品种是否无菌的一种方法。无菌检查应在环境洁净度10000级以下的局部洁净度100级的单向流空气区域内或隔离系统中进行，其全过程应严格遵守无菌操作，防止微生物污染。</w:t>
      </w:r>
    </w:p>
    <w:p>
      <w:pPr>
        <w:spacing w:line="400" w:lineRule="exact"/>
        <w:ind w:firstLine="480" w:firstLineChars="200"/>
        <w:rPr>
          <w:rFonts w:hint="default" w:ascii="Times New Roman" w:hAnsi="Times New Roman" w:cs="Times New Roman" w:eastAsiaTheme="minorEastAsia"/>
          <w:sz w:val="24"/>
          <w:szCs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2.方法适用性试验</w:t>
      </w:r>
    </w:p>
    <w:p>
      <w:pPr>
        <w:numPr>
          <w:ilvl w:val="-1"/>
          <w:numId w:val="0"/>
        </w:numPr>
        <w:spacing w:line="400" w:lineRule="exact"/>
        <w:ind w:left="0" w:firstLine="0" w:firstLineChars="0"/>
        <w:rPr>
          <w:rFonts w:hint="default" w:ascii="Times New Roman" w:hAnsi="Times New Roman" w:cs="Times New Roman" w:eastAsiaTheme="minorEastAsia"/>
          <w:sz w:val="24"/>
          <w:szCs w:val="24"/>
          <w:lang w:val="en-US" w:eastAsia="zh-CN"/>
        </w:rPr>
      </w:pPr>
      <w:r>
        <w:rPr>
          <w:rFonts w:hint="default" w:ascii="Times New Roman" w:hAnsi="Times New Roman" w:cs="Times New Roman" w:eastAsiaTheme="minorEastAsia"/>
          <w:sz w:val="24"/>
          <w:szCs w:val="24"/>
          <w:lang w:val="en-US" w:eastAsia="zh-CN"/>
        </w:rPr>
        <w:t>进行产品无菌检查时，应进行方法适用性试验，以确认所采用的方法是否适合于该产品的无菌检查，包括，薄膜过滤法、直接接种法。</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3.检查方法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 xml:space="preserve"> 直接接种法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A</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供试品准备供试品如为注射液、供角膜穿通伤及手术用的滴眼剂或灭菌溶液，按规定量取供试品，混合。</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供试品如为注射用无菌粉末或无菌冻干品或供直接分装成注射用的无菌粉末原料，按规定量取供试品，加入无菌水或0.9%无菌氯化钠溶液，或该药品项下规定的溶剂用量制成一定浓度的供试品溶液。</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供试品如为外科敷料，取供试品4个包装，以无菌操作拆开包装，于不同部位分别剪取约100mg或1cm×3cm的供试品11份；肠线、缝合线取最小包装5个，拆开包装，共取11股，接种于足以浸没供试品的适量培养基中。</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供试品如为灭菌医用器具，依样品大小、形状的不同，取供试品11个，接种于足以浸没供试品的适量培养基中。或用0.9%无菌氯化钠溶液各40ml，分别冲洗内壁（输血、输液袋）收集各冲洗液，混合，按薄膜过滤法检查。</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供试品如为青霉素类药品，按表1或表3规定量取供试品，分别加入足够使青霉素灭活的无菌青霉素酶溶液适量，摇匀，混合。亦可按薄膜过滤法检查。</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供试品如为放射性药品，取供试品1瓶（支），接种于装量为7.5ml的培养基中。每管接种量为0.2ml。</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B</w:t>
      </w:r>
      <w:r>
        <w:rPr>
          <w:rFonts w:hint="default" w:ascii="Times New Roman" w:hAnsi="Times New Roman" w:cs="Times New Roman" w:eastAsiaTheme="minorEastAsia"/>
          <w:sz w:val="24"/>
          <w:lang w:val="en-US" w:eastAsia="zh-CN"/>
        </w:rPr>
        <w:t xml:space="preserve">. </w:t>
      </w:r>
      <w:r>
        <w:rPr>
          <w:rFonts w:hint="default" w:ascii="Times New Roman" w:hAnsi="Times New Roman" w:cs="Times New Roman" w:eastAsiaTheme="minorEastAsia"/>
          <w:sz w:val="24"/>
        </w:rPr>
        <w:t>操作 取上述备妥的供试品，以无菌操作将该供试品分别接种于需气菌、厌气菌培养基6管，其中1管接种金黄色葡萄球菌对照用菌液1ml，作阳性对照，另接种于真菌培养基5管。轻轻摇动，使供试品与培养基混合。需气菌、厌气菌培养基管置30～35℃、真菌培养基管置20～25℃培养7日。在培养期间应逐日观察并记录是否有菌生长。阳性对照管在24小时内应有菌生长，如在加入供试品后，培养基出现浑浊，培养7天后，不能从外观上判断有无微生物生长，可取该培养液适量转种至同种新鲜培养基中或斜面培养基上继续培养，细菌培养2日，真菌培养3日，观察是否再出现浑浊或斜面有无菌生长，或用接种环取培养液涂片，染色，用显微镜观察是否有菌。</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 xml:space="preserve"> 薄膜过滤法</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如供试品有抗菌作用，按表1或表3规定量取供试品，按该药品项下规定的方法处理后，加入0.9%无菌氯化钠溶液或其他适宜的溶剂至少100ml中，混合后，通过装有孔径不大于0.45μm的薄膜过滤器，然后用0.9%无菌氯化钠溶液或其他适宜的溶液冲洗滤膜至阳性对照菌正常生长。将需气菌、厌气菌培养基，真菌培养基用阳性对照管用培养基分别加至薄膜过滤器内（封闭式过滤器），或取出滤膜分成3等份，分别加入上述二种培养基中，按规定温度和时间培养。阳性对照管应根据供试品特性加入相应对照菌液1ml(抗细菌药物，以金黄色葡萄球菌为对照菌；抗厌氧菌药物，以生孢梭菌为对照菌；抗真菌药物，以白色念珠菌为对照菌)。阳性对照管细菌应在培养24～48小时，真菌应在培养24～72小时有菌生长。</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3.判定结果</w:t>
      </w:r>
    </w:p>
    <w:p>
      <w:pPr>
        <w:spacing w:line="400" w:lineRule="exact"/>
        <w:ind w:firstLine="48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rPr>
        <w:t>当阳性对照管显浑浊并确有细菌生长，阴性对照管呈阴性时，可根据观察所得的结果判定：如需气菌、厌气菌及真菌培养基管均为澄清或虽显浑浊但经证明并非有菌生长，均应判为供试品合格；如需气菌、厌气菌及真菌培养基管中任何1管显浑浊并确证为有菌生长，应重新取2倍量供试品，分别依法复试，除阳性对照管外，其他各管均不得有菌生长，否则应判为供试品不合格。</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lang w:val="en-US" w:eastAsia="zh-CN"/>
        </w:rPr>
        <w:t>五、升压物质检查法</w:t>
      </w:r>
      <w:r>
        <w:rPr>
          <w:rFonts w:hint="default" w:ascii="Times New Roman" w:hAnsi="Times New Roman" w:cs="Times New Roman" w:eastAsiaTheme="minorEastAsia"/>
          <w:sz w:val="24"/>
        </w:rPr>
        <w:t xml:space="preserve"> </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升压物质检查法</w:t>
      </w:r>
      <w:r>
        <w:rPr>
          <w:rFonts w:hint="default" w:ascii="Times New Roman" w:hAnsi="Times New Roman" w:cs="Times New Roman" w:eastAsiaTheme="minorEastAsia"/>
          <w:sz w:val="24"/>
          <w:szCs w:val="24"/>
          <w:lang w:val="en-US" w:eastAsia="zh-CN"/>
        </w:rPr>
        <w:t>(test for uppressor subatance)</w:t>
      </w:r>
      <w:r>
        <w:rPr>
          <w:rFonts w:hint="default" w:ascii="Times New Roman" w:hAnsi="Times New Roman" w:cs="Times New Roman" w:eastAsiaTheme="minorEastAsia"/>
          <w:sz w:val="24"/>
        </w:rPr>
        <w:t>，系比较垂体后叶标准品（S）与供试品（T）升高大鼠血压的程度，以判定供试品中所含升压物质的限度是否符合规定。</w:t>
      </w:r>
    </w:p>
    <w:p>
      <w:pPr>
        <w:numPr>
          <w:ilvl w:val="-1"/>
          <w:numId w:val="0"/>
        </w:numPr>
        <w:spacing w:line="400" w:lineRule="exact"/>
        <w:ind w:left="0" w:firstLine="0" w:firstLineChars="0"/>
        <w:rPr>
          <w:rFonts w:hint="default" w:ascii="Times New Roman" w:hAnsi="Times New Roman" w:cs="Times New Roman" w:eastAsiaTheme="minorEastAsia"/>
          <w:sz w:val="24"/>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取健康无伤、体重300g以上的成年雄性大鼠，用适宜的麻醉剂（如腹腔注射乌拉坦1g/kg）麻醉后，固定于保温手术台上，分离气管，必要时插入插管，以使呼吸通畅。在一侧颈静脉或股静脉插入静脉插管，供注射药液用，按体重每100g注入肝素溶液50～100单位,然后剥离另一侧颈动脉，插入与测压计相连的动脉插管，在插管与测压计通路中充满含适量肝素钠的氯化钠注射液。全部手术完毕后，将测压计的读数调节到与动物血压相当的高度，开启动脉夹,记录血压。缓缓注入适宜的交感神经阻断药(如甲磺酸酚妥拉明，按大鼠每100g体重注入0.1mg，隔5～10分钟用相同剂量再注射一次),待血压稳定后，即可进行药液注射。各次注射速度应基本相同，并于注射后立即注入氯化钠注射液0.5ml，相邻两次注射的间隔时间应基本相同(一般约为5～10分钟)，每次注射应在前一次反应恢复稳定以后进行。</w:t>
      </w:r>
    </w:p>
    <w:p>
      <w:pPr>
        <w:spacing w:line="400" w:lineRule="exact"/>
        <w:ind w:firstLine="48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rPr>
        <w:t>选定高低两剂量的垂体后叶标准品稀释液（ml），高低剂量之比约为1∶0.6，低剂量应能使大鼠血压升高1.33～3.55kPa，将高低剂量轮流重复注入2～3次,如高剂量所致反应的平均值大于低剂量所致反应的平均值，可认为该动物的灵敏度符合规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sz w:val="24"/>
        </w:rPr>
        <w:t>在上述高低剂量范围内选定标准品稀释液的剂量（ds），供试品溶液按正文中规定的剂量（dT），照下列次序注射一组4个剂量：ds、dT、dT、dS,然后以第一与第叁、第二与第四剂量所致的反应分别比较；如dT所致的反应值均不大于ds所致反应值的一半，即认为供试品的升压物质检查符合规定。否则应按上述次序继续注射一组4个剂量,并按相同方法分别比较两组内各对ds、dT所致的反应值；如dT所致的反应值均不大于ds所致的反应值，仍认为供试品的升压物质检查符合规定，如dT所致的反应值均大于ds所致的反应值，即认为供试品的升压物质检查不符合规定；否则应另取动物复试。如复试的结果仍有dT所致的反应值大于ds所致的反应值,即认为供试品的升压物质检查不符合规定</w:t>
      </w:r>
      <w:r>
        <w:rPr>
          <w:rFonts w:hint="default" w:ascii="Times New Roman" w:hAnsi="Times New Roman" w:cs="Times New Roman" w:eastAsiaTheme="minorEastAsia"/>
          <w:sz w:val="24"/>
          <w:lang w:eastAsia="zh-CN"/>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lang w:val="en-US" w:eastAsia="zh-CN"/>
        </w:rPr>
        <w:t>六、</w:t>
      </w:r>
      <w:bookmarkStart w:id="7" w:name="OLE_LINK8"/>
      <w:r>
        <w:rPr>
          <w:rFonts w:hint="default" w:ascii="Times New Roman" w:hAnsi="Times New Roman" w:cs="Times New Roman" w:eastAsiaTheme="minorEastAsia"/>
          <w:sz w:val="24"/>
          <w:lang w:val="en-US" w:eastAsia="zh-CN"/>
        </w:rPr>
        <w:t>降压物质检查法</w:t>
      </w:r>
      <w:bookmarkEnd w:id="7"/>
      <w:r>
        <w:rPr>
          <w:rFonts w:hint="default" w:ascii="Times New Roman" w:hAnsi="Times New Roman" w:cs="Times New Roman" w:eastAsiaTheme="minorEastAsia"/>
          <w:sz w:val="24"/>
        </w:rPr>
        <w:t xml:space="preserve"> </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降</w:t>
      </w:r>
      <w:r>
        <w:rPr>
          <w:rFonts w:hint="default" w:ascii="Times New Roman" w:hAnsi="Times New Roman" w:cs="Times New Roman" w:eastAsiaTheme="minorEastAsia"/>
          <w:sz w:val="24"/>
        </w:rPr>
        <w:t>压物质检查法</w:t>
      </w:r>
      <w:r>
        <w:rPr>
          <w:rFonts w:hint="default" w:ascii="Times New Roman" w:hAnsi="Times New Roman" w:cs="Times New Roman" w:eastAsiaTheme="minorEastAsia"/>
          <w:sz w:val="24"/>
          <w:szCs w:val="24"/>
          <w:lang w:val="en-US" w:eastAsia="zh-CN"/>
        </w:rPr>
        <w:t>(test for depressor subatance)是利用猫对组胺样物质具有较为敏感的反应，通过</w:t>
      </w:r>
      <w:r>
        <w:rPr>
          <w:rFonts w:hint="default" w:ascii="Times New Roman" w:hAnsi="Times New Roman" w:cs="Times New Roman" w:eastAsiaTheme="minorEastAsia"/>
          <w:sz w:val="24"/>
        </w:rPr>
        <w:t>比较</w:t>
      </w:r>
      <w:r>
        <w:rPr>
          <w:rFonts w:hint="default" w:ascii="Times New Roman" w:hAnsi="Times New Roman" w:cs="Times New Roman" w:eastAsiaTheme="minorEastAsia"/>
          <w:sz w:val="24"/>
          <w:lang w:val="en-US" w:eastAsia="zh-CN"/>
        </w:rPr>
        <w:t>组胺对</w:t>
      </w:r>
      <w:r>
        <w:rPr>
          <w:rFonts w:hint="default" w:ascii="Times New Roman" w:hAnsi="Times New Roman" w:cs="Times New Roman" w:eastAsiaTheme="minorEastAsia"/>
          <w:sz w:val="24"/>
        </w:rPr>
        <w:t>标准品（S）与供试品（T）</w:t>
      </w:r>
      <w:r>
        <w:rPr>
          <w:rFonts w:hint="default" w:ascii="Times New Roman" w:hAnsi="Times New Roman" w:cs="Times New Roman" w:eastAsiaTheme="minorEastAsia"/>
          <w:sz w:val="24"/>
          <w:lang w:val="en-US" w:eastAsia="zh-CN"/>
        </w:rPr>
        <w:t>引起麻醉猫血压下降的程度，以判定供试品中所含降压物质的限度是否符合规定。</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临用前，精密量取组胺对照品溶液适量，用氯化钠注射液配成每1ml中含组胺0.5μg的稀释液。精密称取磷酸组胺对照品适量，按组胺计算，加水溶解使成每1ml中含1.0mg的溶液，分装于适宜的容器内，4～8℃贮存，如无沉淀析出,可在3个月内使用。</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取健康无伤、体重2kg以上的猫（或体重5kg以上的狗），雌者无孕，用适宜的麻醉剂（如巴比妥类）麻醉后，固定于保温手术台上，分离气管并插入插管以使呼吸畅通，必要时可行人工呼吸。在一侧颈动脉插入连接测压计的动脉套管，管内充满适宜的抗凝剂溶液，以记录血压，也可用其他适当仪器记录血压。在一侧股静脉内插入静脉插管，供注射药液用。试验中应注意保持动物体温。全部手术完毕后，将测压计调节到与动物血压相当的高度(一般为13.3～16.0kPa)，开启动脉夹，待血压稳定后,即可进行药液注射。各次注射速度应相同，每次注射后立即注入一定量的氯化钠注射液，相邻两次注射的间隔时间应一定(3～5分钟)，每次注射应在前一次反应恢复稳定以后进行。自静脉轮流注入上述对照品稀释液，剂量按动物体重每1kg注射组胺0.05μg、0.1μg及0.15μg，每个剂量应各重复2～3次,如0.1μg剂量所致的血压下降值均不小于2.67kPa,同时相应各剂量所致反应的平均值有差别，可认为该动物的灵敏度符合规定。</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取对照品稀释液按动物体重每1kg注射组胺0.1μg的剂量(ds),供试品溶液按正文中规定的剂量(dT),照下列次序注射一组4个剂量：ds、dT、dT、ds。然后以第一与第三、第二与第四剂量所致的反应分别比较;如dT所致的反应值均不大于ds所致反应值的一半,即认为供试品的降压物质检查符合规定。否则应按上述次序继续注射一组4个剂量,并按相同方法分别比较两组内各对ds、dT剂量所致的反应值；如dT所致的反应值均不大于ds所致的反应值，仍认为供试品的降压物质检查符合规定；如dT所致的反应值均大于ds所致的反应值，即认为供试品的降压物质检查不符合规定；否则应另取动物复试。如复试的结果仍有dT所致的反应值大于ds所致的反应值，即认为供试品的降压物质检查不符合规定。所用动物经灵敏度检查如仍符合规定，可继续用于降压物质检查。</w:t>
      </w:r>
    </w:p>
    <w:p>
      <w:pPr>
        <w:spacing w:line="400" w:lineRule="exact"/>
        <w:ind w:firstLine="480" w:firstLineChars="200"/>
        <w:rPr>
          <w:rFonts w:hint="default" w:ascii="Times New Roman" w:hAnsi="Times New Roman" w:cs="Times New Roman" w:eastAsiaTheme="minorEastAsia"/>
          <w:sz w:val="24"/>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 w:val="24"/>
          <w:lang w:val="en-US" w:eastAsia="zh-CN"/>
        </w:rPr>
        <w:t>七、过敏物质检查法</w:t>
      </w:r>
      <w:r>
        <w:rPr>
          <w:rFonts w:hint="default" w:ascii="Times New Roman" w:hAnsi="Times New Roman" w:cs="Times New Roman" w:eastAsiaTheme="minorEastAsia"/>
          <w:sz w:val="24"/>
        </w:rPr>
        <w:t xml:space="preserve"> </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过敏</w:t>
      </w:r>
      <w:r>
        <w:rPr>
          <w:rFonts w:hint="default" w:ascii="Times New Roman" w:hAnsi="Times New Roman" w:cs="Times New Roman" w:eastAsiaTheme="minorEastAsia"/>
          <w:sz w:val="24"/>
        </w:rPr>
        <w:t>物质检查法</w:t>
      </w:r>
      <w:r>
        <w:rPr>
          <w:rFonts w:hint="default" w:ascii="Times New Roman" w:hAnsi="Times New Roman" w:cs="Times New Roman" w:eastAsiaTheme="minorEastAsia"/>
          <w:sz w:val="24"/>
          <w:szCs w:val="24"/>
          <w:lang w:val="en-US" w:eastAsia="zh-CN"/>
        </w:rPr>
        <w:t>(test for allergic subatance)系将一定量的供试品溶液注入豚鼠体内，间隔一段时间后静脉注射供试药品溶液进行激发，观察动物出现过敏反应的情况</w:t>
      </w:r>
      <w:r>
        <w:rPr>
          <w:rFonts w:hint="default" w:ascii="Times New Roman" w:hAnsi="Times New Roman" w:cs="Times New Roman" w:eastAsiaTheme="minorEastAsia"/>
          <w:sz w:val="24"/>
          <w:lang w:val="en-US" w:eastAsia="zh-CN"/>
        </w:rPr>
        <w:t>，以判定供试药品是否引起动物全身过敏反应。</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0"/>
          <w:numId w:val="0"/>
        </w:num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取6只供试用的豚鼠应健康合格，体重250-300g，雌鼠，无孕。隔日每只每次腹腔或适宜的途径注射供试品溶液0.5ml，共3次，进行致敏。每日观察每只动物的行为和体征，首次致敏和激发前称量并记录每只动物的体重，然后均分为2组，每组3只，分别在每次注射后第14天和第21天，由静脉注射供试品溶液1ml进行激发。观察激发后30min内动物有无过敏反应症状。</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静脉注射供试品溶液30min内，不得出现过敏反应。如在同一动物上出现竖毛、发抖、干呕、连续喷嚏3声、连续咳嗽3声、紫癜和呼吸困难等现象中的两种或两种以上，或出现大小便失禁、步态不稳或倒地、抽搐、休克、死亡现象之一者，判定供试品不符合规定。</w:t>
      </w:r>
    </w:p>
    <w:p>
      <w:pPr>
        <w:spacing w:line="400" w:lineRule="exact"/>
        <w:ind w:firstLine="480" w:firstLineChars="200"/>
        <w:rPr>
          <w:rFonts w:hint="default" w:ascii="Times New Roman" w:hAnsi="Times New Roman" w:cs="Times New Roman" w:eastAsiaTheme="minorEastAsia"/>
          <w:sz w:val="24"/>
        </w:rPr>
      </w:pPr>
    </w:p>
    <w:p>
      <w:pPr>
        <w:numPr>
          <w:ilvl w:val="-1"/>
          <w:numId w:val="0"/>
        </w:numPr>
        <w:spacing w:line="400" w:lineRule="exact"/>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八、宿主细胞蛋白质检测法</w:t>
      </w:r>
      <w:r>
        <w:rPr>
          <w:rFonts w:hint="default" w:ascii="Times New Roman" w:hAnsi="Times New Roman" w:cs="Times New Roman" w:eastAsiaTheme="minorEastAsia"/>
          <w:sz w:val="24"/>
        </w:rPr>
        <w:t xml:space="preserve"> </w:t>
      </w:r>
    </w:p>
    <w:p>
      <w:pPr>
        <w:numPr>
          <w:ilvl w:val="0"/>
          <w:numId w:val="0"/>
        </w:num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宿主细胞蛋白</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rPr>
        <w:t>Host Cell Proteins，</w:t>
      </w:r>
      <w:r>
        <w:rPr>
          <w:rFonts w:hint="default" w:ascii="Times New Roman" w:hAnsi="Times New Roman" w:cs="Times New Roman" w:eastAsiaTheme="minorEastAsia"/>
          <w:sz w:val="24"/>
          <w:lang w:val="en-US" w:eastAsia="zh-CN"/>
        </w:rPr>
        <w:t>HCP）</w:t>
      </w:r>
      <w:r>
        <w:rPr>
          <w:rFonts w:hint="default" w:ascii="Times New Roman" w:hAnsi="Times New Roman" w:cs="Times New Roman" w:eastAsiaTheme="minorEastAsia"/>
          <w:sz w:val="24"/>
        </w:rPr>
        <w:t>是指生物制品生产过程中，来自生产用细胞的蛋白质杂质。例如，当使用哺乳动物细胞（如CHO细胞）生产重组蛋白时，除了目标蛋白外，还可能有一些CHO细胞本身的蛋白存在于最终产品中。这些HCP可能会影响产品的稳定性、效力或安全性，因此需要进行检测和控制。</w:t>
      </w:r>
      <w:r>
        <w:rPr>
          <w:rFonts w:hint="default" w:ascii="Times New Roman" w:hAnsi="Times New Roman" w:cs="Times New Roman" w:eastAsiaTheme="minorEastAsia"/>
          <w:sz w:val="24"/>
          <w:lang w:val="en-US" w:eastAsia="zh-CN"/>
        </w:rPr>
        <w:t>宿主细胞蛋白质检测法（test for host cell protein）一般采用ELISA法，也可采用蛋白质印迹法做HCP的限度检查。</w:t>
      </w:r>
    </w:p>
    <w:p>
      <w:pPr>
        <w:numPr>
          <w:ilvl w:val="0"/>
          <w:numId w:val="0"/>
        </w:numPr>
        <w:spacing w:line="360" w:lineRule="exact"/>
        <w:rPr>
          <w:rFonts w:hint="default" w:ascii="Times New Roman" w:hAnsi="Times New Roman" w:cs="Times New Roman" w:eastAsiaTheme="minorEastAsia"/>
          <w:sz w:val="24"/>
        </w:rPr>
      </w:pPr>
    </w:p>
    <w:p>
      <w:pPr>
        <w:numPr>
          <w:ilvl w:val="0"/>
          <w:numId w:val="0"/>
        </w:numPr>
        <w:spacing w:line="360" w:lineRule="exact"/>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一）ELISA法</w:t>
      </w:r>
    </w:p>
    <w:p>
      <w:pPr>
        <w:numPr>
          <w:ilvl w:val="-1"/>
          <w:numId w:val="0"/>
        </w:numPr>
        <w:spacing w:line="36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36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它基于酶标记技术和抗原-抗体特异性反应的原理，通过将酶与抗体或抗原结合，利用酶的催化作用将底物转化为有色产物，从而实现对目标物质的定量或定性检测。</w:t>
      </w:r>
    </w:p>
    <w:p>
      <w:pPr>
        <w:numPr>
          <w:ilvl w:val="-1"/>
          <w:numId w:val="0"/>
        </w:numPr>
        <w:spacing w:line="36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优点：灵敏，可以量化HCP的总量。</w:t>
      </w:r>
    </w:p>
    <w:p>
      <w:pPr>
        <w:numPr>
          <w:ilvl w:val="-1"/>
          <w:numId w:val="0"/>
        </w:numPr>
        <w:spacing w:line="36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缺点：需要高质量的抗HCP抗体，可能不检测到所有的HCP杂质</w:t>
      </w:r>
    </w:p>
    <w:p>
      <w:pPr>
        <w:numPr>
          <w:ilvl w:val="-1"/>
          <w:numId w:val="0"/>
        </w:numPr>
        <w:spacing w:line="36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36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1.</w:t>
      </w:r>
      <w:r>
        <w:rPr>
          <w:rFonts w:hint="default" w:ascii="Times New Roman" w:hAnsi="Times New Roman" w:cs="Times New Roman" w:eastAsiaTheme="minorEastAsia"/>
          <w:color w:val="000000" w:themeColor="text1"/>
          <w:sz w:val="24"/>
          <w14:textFill>
            <w14:solidFill>
              <w14:schemeClr w14:val="tx1"/>
            </w14:solidFill>
          </w14:textFill>
        </w:rPr>
        <w:t>将已知的抗原或抗体吸附在固相载体（如聚苯乙烯微量反应板）表面，保持其免疫活性。</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2.</w:t>
      </w:r>
      <w:r>
        <w:rPr>
          <w:rFonts w:hint="default" w:ascii="Times New Roman" w:hAnsi="Times New Roman" w:cs="Times New Roman" w:eastAsiaTheme="minorEastAsia"/>
          <w:color w:val="000000" w:themeColor="text1"/>
          <w:sz w:val="24"/>
          <w14:textFill>
            <w14:solidFill>
              <w14:schemeClr w14:val="tx1"/>
            </w14:solidFill>
          </w14:textFill>
        </w:rPr>
        <w:t>加入待检样品（可能含有目标抗原或抗体）与固相载体上的抗原或抗体发生特异性反应。</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3.</w:t>
      </w:r>
      <w:r>
        <w:rPr>
          <w:rFonts w:hint="default" w:ascii="Times New Roman" w:hAnsi="Times New Roman" w:cs="Times New Roman" w:eastAsiaTheme="minorEastAsia"/>
          <w:color w:val="000000" w:themeColor="text1"/>
          <w:sz w:val="24"/>
          <w14:textFill>
            <w14:solidFill>
              <w14:schemeClr w14:val="tx1"/>
            </w14:solidFill>
          </w14:textFill>
        </w:rPr>
        <w:t>加入酶标记的抗体或抗原，与已结合在固相载体上的目标物质形成免疫复合物。</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4.</w:t>
      </w:r>
      <w:r>
        <w:rPr>
          <w:rFonts w:hint="default" w:ascii="Times New Roman" w:hAnsi="Times New Roman" w:cs="Times New Roman" w:eastAsiaTheme="minorEastAsia"/>
          <w:color w:val="000000" w:themeColor="text1"/>
          <w:sz w:val="24"/>
          <w14:textFill>
            <w14:solidFill>
              <w14:schemeClr w14:val="tx1"/>
            </w14:solidFill>
          </w14:textFill>
        </w:rPr>
        <w:t>通过洗涤步骤去除未结合的干扰物质。</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5.</w:t>
      </w:r>
      <w:r>
        <w:rPr>
          <w:rFonts w:hint="default" w:ascii="Times New Roman" w:hAnsi="Times New Roman" w:cs="Times New Roman" w:eastAsiaTheme="minorEastAsia"/>
          <w:color w:val="000000" w:themeColor="text1"/>
          <w:sz w:val="24"/>
          <w14:textFill>
            <w14:solidFill>
              <w14:schemeClr w14:val="tx1"/>
            </w14:solidFill>
          </w14:textFill>
        </w:rPr>
        <w:t>加入酶反应底物，酶催化底物转化为有色产物。</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6.</w:t>
      </w:r>
      <w:r>
        <w:rPr>
          <w:rFonts w:hint="default" w:ascii="Times New Roman" w:hAnsi="Times New Roman" w:cs="Times New Roman" w:eastAsiaTheme="minorEastAsia"/>
          <w:color w:val="000000" w:themeColor="text1"/>
          <w:sz w:val="24"/>
          <w14:textFill>
            <w14:solidFill>
              <w14:schemeClr w14:val="tx1"/>
            </w14:solidFill>
          </w14:textFill>
        </w:rPr>
        <w:t>测定有色产物的吸光度或荧光强度等参数，与目标物质的浓度建立关系，从而进行定量或定性分析。</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以标准品溶液吸光度对其相应的浓度作标准曲线，并以供试品溶液吸光度在标准曲线上得到相应菌体蛋白质含量，按以下公式进行计算：</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供试品菌体蛋白质残留量%=C × N × 100/(T × 10</w:t>
      </w:r>
      <w:r>
        <w:rPr>
          <w:rFonts w:hint="default" w:ascii="Times New Roman" w:hAnsi="Times New Roman" w:cs="Times New Roman" w:eastAsiaTheme="minorEastAsia"/>
          <w:sz w:val="24"/>
          <w:vertAlign w:val="superscript"/>
          <w:lang w:val="en-US" w:eastAsia="zh-CN"/>
        </w:rPr>
        <w:t>6</w:t>
      </w:r>
      <w:r>
        <w:rPr>
          <w:rFonts w:hint="default" w:ascii="Times New Roman" w:hAnsi="Times New Roman" w:cs="Times New Roman" w:eastAsiaTheme="minorEastAsia"/>
          <w:sz w:val="24"/>
          <w:lang w:val="en-US" w:eastAsia="zh-CN"/>
        </w:rPr>
        <w:t>)%</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C为供试品溶液中菌体蛋白质含量，ng/ml；N为供试品稀释倍数；T为供试品蛋白质含量，mg/ml。</w:t>
      </w:r>
    </w:p>
    <w:p>
      <w:pPr>
        <w:spacing w:line="400" w:lineRule="exact"/>
        <w:ind w:firstLine="480" w:firstLineChars="200"/>
        <w:rPr>
          <w:rFonts w:hint="default" w:ascii="Times New Roman" w:hAnsi="Times New Roman" w:cs="Times New Roman" w:eastAsiaTheme="minorEastAsia"/>
          <w:sz w:val="24"/>
        </w:rPr>
      </w:pPr>
    </w:p>
    <w:p>
      <w:pPr>
        <w:spacing w:line="400" w:lineRule="exact"/>
        <w:ind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二）蛋白印迹法</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先通过凝胶电泳分离蛋白，然后将蛋白转移到膜上，并使用特异性抗HCP抗体检测目标HCP。</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优点：可以鉴定和定量特定的HCP。</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缺点：只能检测到与使用的抗体有反应的HCP。</w:t>
      </w:r>
    </w:p>
    <w:p>
      <w:pPr>
        <w:spacing w:line="400" w:lineRule="exact"/>
        <w:ind w:firstLine="480" w:firstLineChars="200"/>
        <w:rPr>
          <w:rFonts w:hint="default" w:ascii="Times New Roman" w:hAnsi="Times New Roman" w:cs="Times New Roman" w:eastAsiaTheme="minorEastAsia"/>
          <w:sz w:val="24"/>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蛋白印迹法的主要步骤包括：将电泳分离后的细胞或组织总蛋白质从凝胶转移到固相支持物（如NC膜或PVDF膜）上，然后用特异性抗体检测某一特定抗原。这种方法结合了凝胶电泳的高分辨率和固相免疫测定的高特异性和敏感性，使得蛋白印迹法成为蛋白分析的一种常规技术。</w:t>
      </w:r>
    </w:p>
    <w:p>
      <w:pPr>
        <w:spacing w:line="400" w:lineRule="exact"/>
        <w:ind w:firstLine="480" w:firstLineChars="200"/>
        <w:rPr>
          <w:rFonts w:hint="default" w:ascii="Times New Roman" w:hAnsi="Times New Roman" w:cs="Times New Roman" w:eastAsiaTheme="minorEastAsia"/>
          <w:sz w:val="24"/>
        </w:rPr>
      </w:pPr>
    </w:p>
    <w:p>
      <w:pPr>
        <w:spacing w:line="400" w:lineRule="exact"/>
        <w:ind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阳性结果应呈现明显色带，阴性结果不显色。</w:t>
      </w:r>
    </w:p>
    <w:p>
      <w:pPr>
        <w:spacing w:line="400" w:lineRule="exact"/>
        <w:ind w:firstLine="480" w:firstLineChars="200"/>
        <w:rPr>
          <w:rFonts w:hint="default" w:ascii="Times New Roman" w:hAnsi="Times New Roman" w:cs="Times New Roman" w:eastAsiaTheme="minorEastAsia"/>
          <w:sz w:val="24"/>
          <w:lang w:val="en-US" w:eastAsia="zh-CN"/>
        </w:rPr>
      </w:pPr>
    </w:p>
    <w:p>
      <w:pPr>
        <w:numPr>
          <w:ilvl w:val="0"/>
          <w:numId w:val="6"/>
        </w:numPr>
        <w:spacing w:line="400" w:lineRule="exact"/>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残留DNA检测法</w:t>
      </w:r>
      <w:r>
        <w:rPr>
          <w:rFonts w:hint="default" w:ascii="Times New Roman" w:hAnsi="Times New Roman" w:cs="Times New Roman" w:eastAsiaTheme="minorEastAsia"/>
          <w:sz w:val="24"/>
        </w:rPr>
        <w:t xml:space="preserve"> </w:t>
      </w: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test for Residual DNA)</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生物制药中细胞培养的疫苗往往会伴随着残留外源DNA等杂质，其对人体可能会产生严重的危害，包括造成插入突变、抑癌基因失活、癌基因激活等，最终导致疫苗或生物制品的使用者致癌。</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（一）DNA探针杂交法</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这种技术利用DNA的互补配对原则，将一条DNA序列与另一条DNA序列进行匹配。如果两条DNA序列具有相同的序列，它们就会互相结合形成一个新的复合物</w:t>
      </w:r>
      <w:r>
        <w:rPr>
          <w:rFonts w:hint="default" w:ascii="Times New Roman" w:hAnsi="Times New Roman" w:cs="Times New Roman" w:eastAsiaTheme="minorEastAsia"/>
          <w:sz w:val="24"/>
          <w:lang w:val="en-US" w:eastAsia="zh-CN"/>
        </w:rPr>
        <w:t>。</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w:t>
      </w:r>
      <w:r>
        <w:rPr>
          <w:rFonts w:hint="default" w:ascii="Times New Roman" w:hAnsi="Times New Roman" w:cs="Times New Roman" w:eastAsiaTheme="minorEastAsia"/>
          <w:sz w:val="24"/>
        </w:rPr>
        <w:t>提取样品中的DNA：首先需要从样品中提取出DNA。这个步骤通常需要使用一些特殊的试剂和仪器，比如DNA纯化试剂盒、离心机等。</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制备DNA探针：接下来需要制备用于检测目的基因的DNA探针。这个步骤通常需要使用一些特殊的酶和试剂，比如核酸酶、聚合酶等。DNA探针是用随机引物制备的，探针上标记酶、生物素、放射性同位素、地高辛等。</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3.</w:t>
      </w:r>
      <w:r>
        <w:rPr>
          <w:rFonts w:hint="default" w:ascii="Times New Roman" w:hAnsi="Times New Roman" w:cs="Times New Roman" w:eastAsiaTheme="minorEastAsia"/>
          <w:sz w:val="24"/>
        </w:rPr>
        <w:t>杂交反应：将样品中的DNA和DNA探针进行杂交反应。这个步骤需要一些特殊的试剂和条件，比如高温、低盐浓度等。</w:t>
      </w:r>
    </w:p>
    <w:p>
      <w:pPr>
        <w:numPr>
          <w:ilvl w:val="0"/>
          <w:numId w:val="0"/>
        </w:num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4.</w:t>
      </w:r>
      <w:r>
        <w:rPr>
          <w:rFonts w:hint="default" w:ascii="Times New Roman" w:hAnsi="Times New Roman" w:cs="Times New Roman" w:eastAsiaTheme="minorEastAsia"/>
          <w:sz w:val="24"/>
        </w:rPr>
        <w:t>检测信号：通过检测杂交反应后的信号，确定样品中是否存在目的基因。信号可以是荧光信号、放射性信号等。</w:t>
      </w:r>
      <w:r>
        <w:rPr>
          <w:rFonts w:hint="default" w:ascii="Times New Roman" w:hAnsi="Times New Roman" w:cs="Times New Roman" w:eastAsiaTheme="minorEastAsia"/>
          <w:sz w:val="24"/>
          <w:lang w:val="en-US" w:eastAsia="zh-CN"/>
        </w:rPr>
        <w:t>。</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阳性对照应显色，颜色深度与DNA含量成正比；阴性对照、空白对照不显色。</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ind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（二）荧光染色法</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1.检查原理</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荧光染料能够吸收特定波长的光波并发出荧光，而不同的荧光染料可以标记不同的抗原或抗体，从而实现对抗原或抗体的特异性检测。当荧光染料与待测样本中的抗原或抗体结合后，会在荧光显微镜下发出特定的荧光信号，通过对这些信号的观察和分析，可以确定抗原或抗体的存在和分布情况</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1）</w:t>
      </w:r>
      <w:r>
        <w:rPr>
          <w:rFonts w:hint="default" w:ascii="Times New Roman" w:hAnsi="Times New Roman" w:cs="Times New Roman" w:eastAsiaTheme="minorEastAsia"/>
          <w:sz w:val="24"/>
        </w:rPr>
        <w:t>准备工作：将需要检测的样品取出，并用适当的稀释液进行稀释，以获得适当的浓度。准备好荧光染色剂，常用的有荧光素、DAPI等。</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染色：取适量的荧光染色剂滴在样品上，使其均匀覆盖全部待检物质。根据荧光染料的特性，需要设定一定的染色时间和温度。</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3）</w:t>
      </w:r>
      <w:r>
        <w:rPr>
          <w:rFonts w:hint="default" w:ascii="Times New Roman" w:hAnsi="Times New Roman" w:cs="Times New Roman" w:eastAsiaTheme="minorEastAsia"/>
          <w:sz w:val="24"/>
        </w:rPr>
        <w:t>清洗：将染色后的样品放在适当的缓冲液中轻轻漂洗，以去除多余的荧光染料和非特异性结合的荧光染料。</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eastAsia="zh-CN"/>
        </w:rPr>
        <w:t>（</w:t>
      </w:r>
      <w:r>
        <w:rPr>
          <w:rFonts w:hint="default" w:ascii="Times New Roman" w:hAnsi="Times New Roman" w:cs="Times New Roman" w:eastAsiaTheme="minorEastAsia"/>
          <w:sz w:val="24"/>
          <w:lang w:val="en-US" w:eastAsia="zh-CN"/>
        </w:rPr>
        <w:t>4）</w:t>
      </w:r>
      <w:r>
        <w:rPr>
          <w:rFonts w:hint="default" w:ascii="Times New Roman" w:hAnsi="Times New Roman" w:cs="Times New Roman" w:eastAsiaTheme="minorEastAsia"/>
          <w:sz w:val="24"/>
        </w:rPr>
        <w:t>观察：将清洗后的样品放在荧光显微镜下观察。通过激发光照射样品，观察是否有荧光信号发出。使用荧光滤光片、滤光镜等设备可以调整和增强荧光观测效果。</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以标准品溶液的浓度对其相应的荧光强度作直线回归方程，相关系数应不低于0.99，将供试品溶液的荧光强度代入直线回归方程，即得到供试品中DNA残留量。</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rPr>
          <w:rFonts w:hint="default" w:ascii="Times New Roman" w:hAnsi="Times New Roman" w:cs="Times New Roman" w:eastAsiaTheme="minorEastAsia"/>
          <w:color w:val="000000" w:themeColor="text1"/>
          <w:lang w:val="en-US"/>
          <w14:textFill>
            <w14:solidFill>
              <w14:schemeClr w14:val="tx1"/>
            </w14:solidFill>
          </w14:textFill>
        </w:rPr>
      </w:pPr>
      <w:r>
        <w:rPr>
          <w:rFonts w:hint="default" w:ascii="Times New Roman" w:hAnsi="Times New Roman" w:cs="Times New Roman" w:eastAsiaTheme="minorEastAsia"/>
          <w:sz w:val="24"/>
          <w:lang w:val="en-US" w:eastAsia="zh-CN"/>
        </w:rPr>
        <w:t>十、抗体检测法（test for antibodies）</w:t>
      </w:r>
    </w:p>
    <w:p>
      <w:pPr>
        <w:numPr>
          <w:ilvl w:val="-1"/>
          <w:numId w:val="0"/>
        </w:numPr>
        <w:spacing w:line="400" w:lineRule="exact"/>
        <w:ind w:left="0"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抗体检测法是一种通过检测生物样本中的抗体来推断其是否接触过某种抗原或病原体的方法。这种方法广泛应用于医学诊断、疫苗研发和疾病监测等领域。</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rPr>
        <w:t>抗体检测法的基本原理是利用抗原与抗体之间的特异性结合反应来检测抗体。通常，抗原是引起免疫反应的病原体或其组成部分，而抗体是由免疫系统产生的特异性蛋白质，能够与抗原结合。在抗体检测中，常用的抗原可以是完整的病原体、病原体的片段或人工合成的多肽等</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w:t>
      </w:r>
      <w:r>
        <w:rPr>
          <w:rFonts w:hint="default" w:ascii="Times New Roman" w:hAnsi="Times New Roman" w:cs="Times New Roman" w:eastAsiaTheme="minorEastAsia"/>
          <w:sz w:val="24"/>
        </w:rPr>
        <w:t>样本采集：首先，需要从患者身上采集适当的样本，如血液、血清、血浆、尿液等。采集的样本应当尽量新鲜，并避免污染和细菌污染。</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(2)</w:t>
      </w:r>
      <w:r>
        <w:rPr>
          <w:rFonts w:hint="default" w:ascii="Times New Roman" w:hAnsi="Times New Roman" w:cs="Times New Roman" w:eastAsiaTheme="minorEastAsia"/>
          <w:sz w:val="24"/>
        </w:rPr>
        <w:t>样本处理：采集的样本需要进行适当的处理，如离心、过滤等，以去除杂质和细胞碎片，获得清晰的液体样本。</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(3)</w:t>
      </w:r>
      <w:r>
        <w:rPr>
          <w:rFonts w:hint="default" w:ascii="Times New Roman" w:hAnsi="Times New Roman" w:cs="Times New Roman" w:eastAsiaTheme="minorEastAsia"/>
          <w:sz w:val="24"/>
        </w:rPr>
        <w:t>抗原选择：根据检测的目的和病原体的特性，选择适当的抗原。抗原可以是完整的病原体、病原体的片段或人工合成的多肽等。</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(4)</w:t>
      </w:r>
      <w:r>
        <w:rPr>
          <w:rFonts w:hint="default" w:ascii="Times New Roman" w:hAnsi="Times New Roman" w:cs="Times New Roman" w:eastAsiaTheme="minorEastAsia"/>
          <w:sz w:val="24"/>
        </w:rPr>
        <w:t>抗体检测：将处理后的样本与抗原进行反应，观察是否发生特异性结合。这可以通过直接法、间接法、夹心法等方法进行检测。在间接法中，通常先将抗原与固相载体结合，然后加入待测样本中的抗体与抗原结合，再加入酶标记的二抗与特异性抗体结合，最后通过底物显色或荧光信号来检测抗体。。</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根据实验结果，判断样本中是否存在特定的抗体。如果存在抗体，可以根据信号的强度或颜色变化进行定量或定性分析。。</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rPr>
          <w:rFonts w:hint="default" w:ascii="Times New Roman" w:hAnsi="Times New Roman" w:cs="Times New Roman" w:eastAsiaTheme="minorEastAsia"/>
          <w:color w:val="000000" w:themeColor="text1"/>
          <w:lang w:val="en-US"/>
          <w14:textFill>
            <w14:solidFill>
              <w14:schemeClr w14:val="tx1"/>
            </w14:solidFill>
          </w14:textFill>
        </w:rPr>
      </w:pPr>
      <w:r>
        <w:rPr>
          <w:rFonts w:hint="default" w:ascii="Times New Roman" w:hAnsi="Times New Roman" w:cs="Times New Roman" w:eastAsiaTheme="minorEastAsia"/>
          <w:sz w:val="24"/>
          <w:lang w:val="en-US" w:eastAsia="zh-CN"/>
        </w:rPr>
        <w:t>十一、抗生素残留量检测法</w:t>
      </w:r>
    </w:p>
    <w:p>
      <w:pPr>
        <w:numPr>
          <w:ilvl w:val="-1"/>
          <w:numId w:val="0"/>
        </w:numPr>
        <w:spacing w:line="400" w:lineRule="exact"/>
        <w:ind w:left="0" w:firstLine="0" w:firstLineChars="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1.检查原理</w:t>
      </w:r>
      <w:r>
        <w:rPr>
          <w:rFonts w:hint="default" w:ascii="Times New Roman" w:hAnsi="Times New Roman" w:cs="Times New Roman" w:eastAsiaTheme="minorEastAsia"/>
          <w:sz w:val="24"/>
        </w:rPr>
        <w:t xml:space="preserve"> </w:t>
      </w:r>
    </w:p>
    <w:p>
      <w:pPr>
        <w:numPr>
          <w:ilvl w:val="-1"/>
          <w:numId w:val="0"/>
        </w:numPr>
        <w:spacing w:line="400" w:lineRule="exact"/>
        <w:ind w:left="0" w:firstLine="480" w:firstLineChars="20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依据在琼脂培养基内抗生素对微生物的抑制作用，比较对照品与供试品对接种的试验菌产生的抑菌圈的大小来检测抗生素的残留量。</w:t>
      </w: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2.检查方法</w:t>
      </w:r>
    </w:p>
    <w:p>
      <w:pPr>
        <w:numPr>
          <w:ilvl w:val="0"/>
          <w:numId w:val="0"/>
        </w:num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rPr>
        <w:t>本试验应在无菌条件下进行，使用的玻璃仪器、钢管等应无菌。取直径8cm或10cm的培养皿，注入融化的抗生素II号培养基10～20ml，使在碟底内均匀摊布，放置水平台上使凝固，作为底层。取抗生素II号培养基10～15ml置于1支50℃水浴预热的试管中，加入0.5％～1.5％（ml／ml）的菌悬液300ml混匀，取适量注入已铺制底层的培养皿中，放置水平台上，冷却后，在每个培养皿上等距离均匀放置钢管（内径6～8mm、壁厚1～2mm、管高10～15mm的不锈钢管，表面应光滑平整），于钢管中依次滴加供试品溶液、阴性对照溶液（磷酸盐缓冲液）及对照品溶液。培养皿置于37℃培养18～22h。</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p>
    <w:p>
      <w:pPr>
        <w:numPr>
          <w:ilvl w:val="-1"/>
          <w:numId w:val="0"/>
        </w:numPr>
        <w:spacing w:line="400" w:lineRule="exact"/>
        <w:ind w:left="0" w:firstLine="0" w:firstLineChars="0"/>
        <w:rPr>
          <w:rFonts w:hint="default" w:ascii="Times New Roman" w:hAnsi="Times New Roman" w:cs="Times New Roman" w:eastAsiaTheme="minorEastAsia"/>
          <w:sz w:val="24"/>
          <w:lang w:val="en-US" w:eastAsia="zh-CN"/>
        </w:rPr>
      </w:pPr>
      <w:r>
        <w:rPr>
          <w:rFonts w:hint="default" w:ascii="Times New Roman" w:hAnsi="Times New Roman" w:cs="Times New Roman" w:eastAsiaTheme="minorEastAsia"/>
          <w:sz w:val="24"/>
          <w:lang w:val="en-US" w:eastAsia="zh-CN"/>
        </w:rPr>
        <w:t>3.结果判定</w:t>
      </w:r>
    </w:p>
    <w:p>
      <w:pPr>
        <w:spacing w:line="400" w:lineRule="exact"/>
        <w:ind w:firstLine="480" w:firstLineChars="200"/>
        <w:rPr>
          <w:rFonts w:hint="default" w:ascii="Times New Roman" w:hAnsi="Times New Roman" w:cs="Times New Roman" w:eastAsiaTheme="minorEastAsia"/>
          <w:sz w:val="24"/>
        </w:rPr>
      </w:pPr>
      <w:r>
        <w:rPr>
          <w:rFonts w:hint="default" w:ascii="Times New Roman" w:hAnsi="Times New Roman" w:cs="Times New Roman" w:eastAsiaTheme="minorEastAsia"/>
          <w:sz w:val="24"/>
          <w:lang w:val="en-US" w:eastAsia="zh-CN"/>
        </w:rPr>
        <w:t>对照品溶液有抑菌圈，阴性对照溶液无抑菌圈。供试品溶液抑菌圈的直径小于对照品溶液抑菌圈的直径时判为阴性；否则为阳性</w:t>
      </w:r>
      <w:r>
        <w:rPr>
          <w:rFonts w:hint="default" w:ascii="Times New Roman" w:hAnsi="Times New Roman" w:cs="Times New Roman" w:eastAsiaTheme="minorEastAsia"/>
          <w:sz w:val="24"/>
        </w:rPr>
        <w:t>。</w:t>
      </w:r>
    </w:p>
    <w:p>
      <w:pPr>
        <w:spacing w:line="400" w:lineRule="exact"/>
        <w:ind w:firstLine="480" w:firstLineChars="200"/>
        <w:rPr>
          <w:rFonts w:hint="default" w:ascii="Times New Roman" w:hAnsi="Times New Roman" w:cs="Times New Roman" w:eastAsiaTheme="minorEastAsia"/>
          <w:sz w:val="24"/>
          <w:lang w:val="en-US" w:eastAsia="zh-CN"/>
        </w:rPr>
      </w:pPr>
    </w:p>
    <w:p>
      <w:pPr>
        <w:spacing w:line="400" w:lineRule="exact"/>
        <w:rPr>
          <w:rFonts w:hint="default" w:ascii="Times New Roman" w:hAnsi="Times New Roman" w:cs="Times New Roman" w:eastAsiaTheme="minorEastAsia"/>
          <w:b/>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szCs w:val="21"/>
          <w14:textFill>
            <w14:solidFill>
              <w14:schemeClr w14:val="tx1"/>
            </w14:solidFill>
          </w14:textFill>
        </w:rPr>
        <w:t>作业布置及课程预习（5分钟）：</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1.特殊物质检查</w:t>
      </w:r>
    </w:p>
    <w:p>
      <w:pPr>
        <w:spacing w:line="400" w:lineRule="exact"/>
        <w:outlineLvl w:val="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2.安全性检查</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tbl>
      <w:tblPr>
        <w:tblStyle w:val="13"/>
        <w:tblpPr w:leftFromText="180" w:rightFromText="180" w:vertAnchor="text" w:horzAnchor="page" w:tblpX="1869" w:tblpY="287"/>
        <w:tblOverlap w:val="never"/>
        <w:tblW w:w="8522"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266"/>
        <w:gridCol w:w="1819"/>
        <w:gridCol w:w="1642"/>
        <w:gridCol w:w="1252"/>
        <w:gridCol w:w="1316"/>
        <w:gridCol w:w="1227"/>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bookmarkStart w:id="8" w:name="OLE_LINK9"/>
            <w:r>
              <w:rPr>
                <w:rFonts w:hint="default" w:ascii="Times New Roman" w:hAnsi="Times New Roman" w:cs="Times New Roman" w:eastAsiaTheme="minorEastAsia"/>
                <w:b/>
                <w:color w:val="000000" w:themeColor="text1"/>
                <w:sz w:val="24"/>
                <w14:textFill>
                  <w14:solidFill>
                    <w14:schemeClr w14:val="tx1"/>
                  </w14:solidFill>
                </w14:textFill>
              </w:rPr>
              <w:t>授课题目</w:t>
            </w:r>
          </w:p>
        </w:tc>
        <w:tc>
          <w:tcPr>
            <w:tcW w:w="3461"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第</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四</w:t>
            </w:r>
            <w:r>
              <w:rPr>
                <w:rFonts w:hint="default" w:ascii="Times New Roman" w:hAnsi="Times New Roman" w:cs="Times New Roman" w:eastAsiaTheme="minorEastAsia"/>
                <w:color w:val="000000" w:themeColor="text1"/>
                <w:sz w:val="24"/>
                <w14:textFill>
                  <w14:solidFill>
                    <w14:schemeClr w14:val="tx1"/>
                  </w14:solidFill>
                </w14:textFill>
              </w:rPr>
              <w:t>章</w:t>
            </w:r>
            <w:r>
              <w:rPr>
                <w:rFonts w:hint="default" w:ascii="Times New Roman" w:hAnsi="Times New Roman" w:cs="Times New Roman" w:eastAsiaTheme="minorEastAsia"/>
                <w:color w:val="000000" w:themeColor="text1"/>
                <w:sz w:val="24"/>
                <w:lang w:val="en-US" w:eastAsia="zh-CN"/>
                <w14:textFill>
                  <w14:solidFill>
                    <w14:schemeClr w14:val="tx1"/>
                  </w14:solidFill>
                </w14:textFill>
              </w:rPr>
              <w:t xml:space="preserve"> </w:t>
            </w:r>
            <w:r>
              <w:rPr>
                <w:rFonts w:hint="default" w:ascii="Times New Roman" w:hAnsi="Times New Roman" w:cs="Times New Roman" w:eastAsiaTheme="minorEastAsia"/>
                <w:bCs/>
                <w:color w:val="000000" w:themeColor="text1"/>
                <w:sz w:val="22"/>
                <w14:textFill>
                  <w14:solidFill>
                    <w14:schemeClr w14:val="tx1"/>
                  </w14:solidFill>
                </w14:textFill>
              </w:rPr>
              <w:t>微生物限度检查法</w:t>
            </w:r>
          </w:p>
        </w:tc>
        <w:tc>
          <w:tcPr>
            <w:tcW w:w="1252"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授课日期</w:t>
            </w:r>
          </w:p>
        </w:tc>
        <w:tc>
          <w:tcPr>
            <w:tcW w:w="2543" w:type="dxa"/>
            <w:gridSpan w:val="2"/>
            <w:shd w:val="clear" w:color="auto" w:fill="auto"/>
            <w:vAlign w:val="center"/>
          </w:tcPr>
          <w:p>
            <w:pPr>
              <w:pStyle w:val="6"/>
              <w:spacing w:line="400" w:lineRule="exact"/>
              <w:ind w:left="0" w:leftChars="0"/>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202</w:t>
            </w:r>
            <w:r>
              <w:rPr>
                <w:rFonts w:hint="default" w:ascii="Times New Roman" w:hAnsi="Times New Roman" w:cs="Times New Roman" w:eastAsiaTheme="minorEastAsia"/>
                <w:b/>
                <w:color w:val="000000" w:themeColor="text1"/>
                <w:sz w:val="24"/>
                <w:lang w:eastAsia="zh-CN"/>
                <w14:textFill>
                  <w14:solidFill>
                    <w14:schemeClr w14:val="tx1"/>
                  </w14:solidFill>
                </w14:textFill>
              </w:rPr>
              <w:t>4</w:t>
            </w:r>
            <w:r>
              <w:rPr>
                <w:rFonts w:hint="default" w:ascii="Times New Roman" w:hAnsi="Times New Roman" w:cs="Times New Roman" w:eastAsiaTheme="minorEastAsia"/>
                <w:b/>
                <w:color w:val="000000" w:themeColor="text1"/>
                <w:sz w:val="24"/>
                <w14:textFill>
                  <w14:solidFill>
                    <w14:schemeClr w14:val="tx1"/>
                  </w14:solidFill>
                </w14:textFill>
              </w:rPr>
              <w:t>年3月</w:t>
            </w:r>
            <w:r>
              <w:rPr>
                <w:rFonts w:hint="default" w:ascii="Times New Roman" w:hAnsi="Times New Roman" w:cs="Times New Roman" w:eastAsiaTheme="minorEastAsia"/>
                <w:b/>
                <w:color w:val="000000" w:themeColor="text1"/>
                <w:sz w:val="24"/>
                <w:lang w:val="en-US" w:eastAsia="zh-CN"/>
                <w14:textFill>
                  <w14:solidFill>
                    <w14:schemeClr w14:val="tx1"/>
                  </w14:solidFill>
                </w14:textFill>
              </w:rPr>
              <w:t>22</w:t>
            </w:r>
            <w:r>
              <w:rPr>
                <w:rFonts w:hint="default" w:ascii="Times New Roman" w:hAnsi="Times New Roman" w:cs="Times New Roman" w:eastAsiaTheme="minorEastAsia"/>
                <w:b/>
                <w:color w:val="000000" w:themeColor="text1"/>
                <w:sz w:val="24"/>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26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授课班级</w:t>
            </w:r>
          </w:p>
        </w:tc>
        <w:tc>
          <w:tcPr>
            <w:tcW w:w="1819"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642"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授课时数</w:t>
            </w:r>
          </w:p>
        </w:tc>
        <w:tc>
          <w:tcPr>
            <w:tcW w:w="1252"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lang w:val="en-US" w:eastAsia="zh-CN"/>
                <w14:textFill>
                  <w14:solidFill>
                    <w14:schemeClr w14:val="tx1"/>
                  </w14:solidFill>
                </w14:textFill>
              </w:rPr>
              <w:t>2</w:t>
            </w:r>
          </w:p>
        </w:tc>
        <w:tc>
          <w:tcPr>
            <w:tcW w:w="1316" w:type="dxa"/>
            <w:shd w:val="clear" w:color="auto" w:fill="auto"/>
            <w:vAlign w:val="center"/>
          </w:tcPr>
          <w:p>
            <w:pPr>
              <w:spacing w:line="400" w:lineRule="exact"/>
              <w:jc w:val="center"/>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授课方式</w:t>
            </w:r>
          </w:p>
        </w:tc>
        <w:tc>
          <w:tcPr>
            <w:tcW w:w="1227" w:type="dxa"/>
            <w:shd w:val="clear" w:color="auto" w:fill="auto"/>
            <w:vAlign w:val="center"/>
          </w:tcPr>
          <w:p>
            <w:pPr>
              <w:spacing w:line="400" w:lineRule="exact"/>
              <w:jc w:val="center"/>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理论课</w:t>
            </w:r>
          </w:p>
        </w:tc>
      </w:tr>
      <w:bookmarkEnd w:id="8"/>
    </w:tbl>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生物药物被微生物污染后引起的质量变化</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1、了解生物药物被微生物污染的范围和原因及质量变化</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2、了解生物药物微生物限度检查的意义及综合防止措施</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生物药物的微生物限度检查法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1、了解染菌限度标准</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2、理解染菌限度检查原则</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3、熟悉染菌限度检查步骤</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控制菌检查法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1、掌握大肠杆菌、沙门菌、绿浓杆菌的检查原理及方法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2、熟悉金黄色葡萄球菌、破伤风杆菌、痢疾杆菌的检查原理及方法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含抑菌成分的生物药物菌检方法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1、了解含抑菌成分的生物药物染菌的原因</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2、熟悉含抑菌成分的供试品液的制备方法</w:t>
      </w:r>
    </w:p>
    <w:p>
      <w:pPr>
        <w:adjustRightInd w:val="0"/>
        <w:snapToGrid w:val="0"/>
        <w:spacing w:line="400" w:lineRule="exact"/>
        <w:rPr>
          <w:rFonts w:hint="default" w:ascii="Times New Roman" w:hAnsi="Times New Roman" w:cs="Times New Roman" w:eastAsiaTheme="minorEastAsia"/>
          <w:b/>
          <w:bCs/>
          <w:color w:val="000000" w:themeColor="text1"/>
          <w:sz w:val="22"/>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w:t>
      </w:r>
      <w:r>
        <w:rPr>
          <w:rFonts w:hint="default" w:ascii="Times New Roman" w:hAnsi="Times New Roman" w:cs="Times New Roman" w:eastAsiaTheme="minorEastAsia"/>
          <w:b/>
          <w:bCs/>
          <w:color w:val="000000" w:themeColor="text1"/>
          <w:sz w:val="22"/>
          <w14:textFill>
            <w14:solidFill>
              <w14:schemeClr w14:val="tx1"/>
            </w14:solidFill>
          </w14:textFill>
        </w:rPr>
        <w:t>重点和难点</w:t>
      </w:r>
      <w:r>
        <w:rPr>
          <w:rFonts w:hint="default" w:ascii="Times New Roman" w:hAnsi="Times New Roman" w:cs="Times New Roman" w:eastAsiaTheme="minorEastAsia"/>
          <w:color w:val="000000" w:themeColor="text1"/>
          <w14:textFill>
            <w14:solidFill>
              <w14:schemeClr w14:val="tx1"/>
            </w14:solidFill>
          </w14:textFill>
        </w:rPr>
        <w:t>】</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1）生物药物被微生物污染后引起的质量变化</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2）抑制菌的检查法</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1、生物药物被微生物污染后引起的质量变化：（1）生物药物染菌的原因与范围（2）生物药物被微生物污染后引起的质量变化；（3）生物药物微生物限度检查的意义（4）生物药物防止被微生物污染的综合措施</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2、生物药物的微生物限度检查法：（1）染菌限度标准；（2）染菌限度检查原则（3）微生物限度检查步骤</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3、控制菌检查法：（1）大肠杆菌；（2）沙门菌（3）铜绿假单孢菌；（4）金黄色葡萄球菌；（5）破伤风杆菌；（6）痢疾杆菌；</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4、含抑菌成分的生物药物菌检方法（1）含抑菌成分的药物；（2）含抑菌成分药品染菌的原因（3）含抑菌成分供试品的确定（4）含抑菌成分供试液的制备</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【教学过程】</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第一节生物药物微生物污染后的质量变化及微生物限度检查法</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复习上节学习内容：（5分钟）。</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结合教材，联系实际提出本章主要内容：</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1．微生物污染后引起的质量变化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2．微生物限度检查法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3．控制菌的检查法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4．含抑菌成分的菌检方法 </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结合ppt对上述内容逐一进行讲解：</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微生物污染后引起的质量变化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然后每个内容具体讲述：</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染菌的范围与原因：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染菌范围：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染菌原因：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微生物的特征：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生产过程和设备： </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制药原料和药物本身的性质：</w:t>
      </w:r>
      <w:r>
        <w:rPr>
          <w:rFonts w:hint="default" w:ascii="Times New Roman" w:hAnsi="Times New Roman" w:cs="Times New Roman" w:eastAsiaTheme="minorEastAsia"/>
          <w:b/>
          <w:bCs/>
          <w:color w:val="000000" w:themeColor="text1"/>
          <w14:textFill>
            <w14:solidFill>
              <w14:schemeClr w14:val="tx1"/>
            </w14:solidFill>
          </w14:textFill>
        </w:rPr>
        <w:t xml:space="preserve">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药品理化性质改变：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药品含微生物毒性代谢物： </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药效的变化：</w:t>
      </w:r>
      <w:r>
        <w:rPr>
          <w:rFonts w:hint="default" w:ascii="Times New Roman" w:hAnsi="Times New Roman" w:cs="Times New Roman" w:eastAsiaTheme="minorEastAsia"/>
          <w:b/>
          <w:bCs/>
          <w:color w:val="000000" w:themeColor="text1"/>
          <w14:textFill>
            <w14:solidFill>
              <w14:schemeClr w14:val="tx1"/>
            </w14:solidFill>
          </w14:textFill>
        </w:rPr>
        <w:t xml:space="preserve">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三 微生物限度检查的意义几国内外菌检限度概况</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1微生物限度检查的意义：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保证药品质量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检测药物生产工艺的科学性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染菌限度检查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2国内外菌检限度概况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四、防止被微生物污染的综合措施</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了解污染来源，杜绝污染机会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进行微生物限度检查，以控制质量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加入适量防腐剂，保持药物在较长时间内稳定 </w:t>
      </w:r>
      <w:r>
        <w:rPr>
          <w:rFonts w:hint="default" w:ascii="Times New Roman" w:hAnsi="Times New Roman" w:cs="Times New Roman" w:eastAsiaTheme="minorEastAsia"/>
          <w:b/>
          <w:bCs/>
          <w:color w:val="000000" w:themeColor="text1"/>
          <w14:textFill>
            <w14:solidFill>
              <w14:schemeClr w14:val="tx1"/>
            </w14:solidFill>
          </w14:textFill>
        </w:rPr>
        <w:t xml:space="preserve"> </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二、微生物限度检查法</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1、染菌限度标准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2、染菌限度检察原则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检查应符合规定的条件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供试品需要保持原有状态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接触用品需要无菌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防止污染菌种死亡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可直接判断无需限度检查 </w:t>
      </w:r>
    </w:p>
    <w:p>
      <w:pPr>
        <w:tabs>
          <w:tab w:val="left" w:pos="0"/>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需做相应已知菌对照试验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控制菌的检查法</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限度检查步骤</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1、供试品的制备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供试品的抽样量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供试液的制备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2、限度检查方法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细菌总数的测定：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霉菌和酵母菌数的测定：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控制菌的检查： </w:t>
      </w:r>
    </w:p>
    <w:p>
      <w:pPr>
        <w:tabs>
          <w:tab w:val="left" w:pos="3405"/>
        </w:tabs>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3、药检结果判断</w:t>
      </w: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4384" behindDoc="0" locked="0" layoutInCell="1" allowOverlap="1">
            <wp:simplePos x="0" y="0"/>
            <wp:positionH relativeFrom="column">
              <wp:posOffset>3726180</wp:posOffset>
            </wp:positionH>
            <wp:positionV relativeFrom="paragraph">
              <wp:posOffset>116840</wp:posOffset>
            </wp:positionV>
            <wp:extent cx="1478915" cy="1346835"/>
            <wp:effectExtent l="0" t="0" r="6985" b="5715"/>
            <wp:wrapNone/>
            <wp:docPr id="6" name="图片 2" descr="https://ss3.bdstatic.com/70cFv8Sh_Q1YnxGkpoWK1HF6hhy/it/u=2403909777,1411810998&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descr="https://ss3.bdstatic.com/70cFv8Sh_Q1YnxGkpoWK1HF6hhy/it/u=2403909777,1411810998&amp;fm=21&amp;gp=0.jpg"/>
                    <pic:cNvPicPr>
                      <a:picLocks noChangeAspect="1"/>
                    </pic:cNvPicPr>
                  </pic:nvPicPr>
                  <pic:blipFill>
                    <a:blip r:embed="rId12"/>
                    <a:stretch>
                      <a:fillRect/>
                    </a:stretch>
                  </pic:blipFill>
                  <pic:spPr>
                    <a:xfrm>
                      <a:off x="0" y="0"/>
                      <a:ext cx="1478915" cy="134683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5408" behindDoc="0" locked="0" layoutInCell="1" allowOverlap="1">
            <wp:simplePos x="0" y="0"/>
            <wp:positionH relativeFrom="column">
              <wp:posOffset>2028825</wp:posOffset>
            </wp:positionH>
            <wp:positionV relativeFrom="paragraph">
              <wp:posOffset>116840</wp:posOffset>
            </wp:positionV>
            <wp:extent cx="1371600" cy="1346835"/>
            <wp:effectExtent l="0" t="0" r="0" b="5715"/>
            <wp:wrapNone/>
            <wp:docPr id="7" name="图片 1" descr="https://ss3.bdstatic.com/70cFv8Sh_Q1YnxGkpoWK1HF6hhy/it/u=333477109,1945916228&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descr="https://ss3.bdstatic.com/70cFv8Sh_Q1YnxGkpoWK1HF6hhy/it/u=333477109,1945916228&amp;fm=23&amp;gp=0.jpg"/>
                    <pic:cNvPicPr>
                      <a:picLocks noChangeAspect="1"/>
                    </pic:cNvPicPr>
                  </pic:nvPicPr>
                  <pic:blipFill>
                    <a:blip r:embed="rId13"/>
                    <a:stretch>
                      <a:fillRect/>
                    </a:stretch>
                  </pic:blipFill>
                  <pic:spPr>
                    <a:xfrm>
                      <a:off x="0" y="0"/>
                      <a:ext cx="1371600" cy="1346835"/>
                    </a:xfrm>
                    <a:prstGeom prst="rect">
                      <a:avLst/>
                    </a:prstGeom>
                    <a:noFill/>
                    <a:ln w="9525">
                      <a:noFill/>
                    </a:ln>
                  </pic:spPr>
                </pic:pic>
              </a:graphicData>
            </a:graphic>
          </wp:anchor>
        </w:drawing>
      </w:r>
      <w:r>
        <w:rPr>
          <w:rFonts w:hint="default" w:ascii="Times New Roman" w:hAnsi="Times New Roman" w:cs="Times New Roman" w:eastAsiaTheme="minorEastAsia"/>
          <w:b/>
          <w:bCs/>
          <w:color w:val="000000" w:themeColor="text1"/>
          <w14:textFill>
            <w14:solidFill>
              <w14:schemeClr w14:val="tx1"/>
            </w14:solidFill>
          </w14:textFill>
        </w:rPr>
        <w:t>三、控制菌的检查法</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1.大肠杆菌：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检查结果判断与报告</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6432" behindDoc="0" locked="0" layoutInCell="1" allowOverlap="1">
            <wp:simplePos x="0" y="0"/>
            <wp:positionH relativeFrom="column">
              <wp:posOffset>1899920</wp:posOffset>
            </wp:positionH>
            <wp:positionV relativeFrom="paragraph">
              <wp:posOffset>212090</wp:posOffset>
            </wp:positionV>
            <wp:extent cx="1402715" cy="1372870"/>
            <wp:effectExtent l="0" t="0" r="6985" b="17780"/>
            <wp:wrapNone/>
            <wp:docPr id="8" name="图片 3" descr="https://ss0.bdstatic.com/70cFvHSh_Q1YnxGkpoWK1HF6hhy/it/u=1624531892,2547589456&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https://ss0.bdstatic.com/70cFvHSh_Q1YnxGkpoWK1HF6hhy/it/u=1624531892,2547589456&amp;fm=21&amp;gp=0.jpg"/>
                    <pic:cNvPicPr>
                      <a:picLocks noChangeAspect="1"/>
                    </pic:cNvPicPr>
                  </pic:nvPicPr>
                  <pic:blipFill>
                    <a:blip r:embed="rId14"/>
                    <a:stretch>
                      <a:fillRect/>
                    </a:stretch>
                  </pic:blipFill>
                  <pic:spPr>
                    <a:xfrm>
                      <a:off x="0" y="0"/>
                      <a:ext cx="1402715" cy="137287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7456" behindDoc="0" locked="0" layoutInCell="1" allowOverlap="1">
            <wp:simplePos x="0" y="0"/>
            <wp:positionH relativeFrom="column">
              <wp:posOffset>3962400</wp:posOffset>
            </wp:positionH>
            <wp:positionV relativeFrom="paragraph">
              <wp:posOffset>212090</wp:posOffset>
            </wp:positionV>
            <wp:extent cx="1501140" cy="1317625"/>
            <wp:effectExtent l="0" t="0" r="3810" b="15875"/>
            <wp:wrapNone/>
            <wp:docPr id="9" name="图片 4" descr="https://ss1.bdstatic.com/70cFuXSh_Q1YnxGkpoWK1HF6hhy/it/u=1917925434,715080071&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4" descr="https://ss1.bdstatic.com/70cFuXSh_Q1YnxGkpoWK1HF6hhy/it/u=1917925434,715080071&amp;fm=21&amp;gp=0.jpg"/>
                    <pic:cNvPicPr>
                      <a:picLocks noChangeAspect="1"/>
                    </pic:cNvPicPr>
                  </pic:nvPicPr>
                  <pic:blipFill>
                    <a:blip r:embed="rId15"/>
                    <a:stretch>
                      <a:fillRect/>
                    </a:stretch>
                  </pic:blipFill>
                  <pic:spPr>
                    <a:xfrm>
                      <a:off x="0" y="0"/>
                      <a:ext cx="1501140" cy="1317625"/>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2.沙门菌：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检查结果判断与报告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8480" behindDoc="0" locked="0" layoutInCell="1" allowOverlap="1">
            <wp:simplePos x="0" y="0"/>
            <wp:positionH relativeFrom="column">
              <wp:posOffset>3962400</wp:posOffset>
            </wp:positionH>
            <wp:positionV relativeFrom="paragraph">
              <wp:posOffset>6985</wp:posOffset>
            </wp:positionV>
            <wp:extent cx="1607820" cy="1294130"/>
            <wp:effectExtent l="0" t="0" r="11430" b="1270"/>
            <wp:wrapNone/>
            <wp:docPr id="10" name="图片 6" descr="https://timgsa.baidu.com/timg?image&amp;quality=80&amp;size=b9999_10000&amp;sec=1487076075418&amp;di=27ccab233b004f009a3f4939d5b81569&amp;imgtype=0&amp;src=http%3A%2F%2Fwww.yp900.com%2FuploadImages%2Fnewssmallpic%2F20124251043289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6" descr="https://timgsa.baidu.com/timg?image&amp;quality=80&amp;size=b9999_10000&amp;sec=1487076075418&amp;di=27ccab233b004f009a3f4939d5b81569&amp;imgtype=0&amp;src=http%3A%2F%2Fwww.yp900.com%2FuploadImages%2Fnewssmallpic%2F201242510432892.jpg"/>
                    <pic:cNvPicPr>
                      <a:picLocks noChangeAspect="1"/>
                    </pic:cNvPicPr>
                  </pic:nvPicPr>
                  <pic:blipFill>
                    <a:blip r:embed="rId16"/>
                    <a:stretch>
                      <a:fillRect/>
                    </a:stretch>
                  </pic:blipFill>
                  <pic:spPr>
                    <a:xfrm>
                      <a:off x="0" y="0"/>
                      <a:ext cx="1607820" cy="129413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69504" behindDoc="0" locked="0" layoutInCell="1" allowOverlap="1">
            <wp:simplePos x="0" y="0"/>
            <wp:positionH relativeFrom="column">
              <wp:posOffset>1943100</wp:posOffset>
            </wp:positionH>
            <wp:positionV relativeFrom="paragraph">
              <wp:posOffset>6985</wp:posOffset>
            </wp:positionV>
            <wp:extent cx="1409700" cy="1294130"/>
            <wp:effectExtent l="0" t="0" r="0" b="1270"/>
            <wp:wrapNone/>
            <wp:docPr id="11" name="图片 5" descr="https://ss0.bdstatic.com/70cFuHSh_Q1YnxGkpoWK1HF6hhy/it/u=1430330836,315235627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5" descr="https://ss0.bdstatic.com/70cFuHSh_Q1YnxGkpoWK1HF6hhy/it/u=1430330836,3152356270&amp;fm=23&amp;gp=0.jpg"/>
                    <pic:cNvPicPr>
                      <a:picLocks noChangeAspect="1"/>
                    </pic:cNvPicPr>
                  </pic:nvPicPr>
                  <pic:blipFill>
                    <a:blip r:embed="rId17"/>
                    <a:stretch>
                      <a:fillRect/>
                    </a:stretch>
                  </pic:blipFill>
                  <pic:spPr>
                    <a:xfrm>
                      <a:off x="0" y="0"/>
                      <a:ext cx="1409700" cy="1294130"/>
                    </a:xfrm>
                    <a:prstGeom prst="rect">
                      <a:avLst/>
                    </a:prstGeom>
                    <a:noFill/>
                    <a:ln w="9525">
                      <a:noFill/>
                    </a:ln>
                  </pic:spPr>
                </pic:pic>
              </a:graphicData>
            </a:graphic>
          </wp:anchor>
        </w:drawing>
      </w:r>
      <w:r>
        <w:rPr>
          <w:rFonts w:hint="default" w:ascii="Times New Roman" w:hAnsi="Times New Roman" w:cs="Times New Roman" w:eastAsiaTheme="minorEastAsia"/>
          <w:bCs/>
          <w:color w:val="000000" w:themeColor="text1"/>
          <w14:textFill>
            <w14:solidFill>
              <w14:schemeClr w14:val="tx1"/>
            </w14:solidFill>
          </w14:textFill>
        </w:rPr>
        <w:t>3.铜绿假单胞菌：</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检查结果判断与报告</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控制菌的检查法</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0528" behindDoc="0" locked="0" layoutInCell="1" allowOverlap="1">
            <wp:simplePos x="0" y="0"/>
            <wp:positionH relativeFrom="column">
              <wp:posOffset>1950720</wp:posOffset>
            </wp:positionH>
            <wp:positionV relativeFrom="paragraph">
              <wp:posOffset>83185</wp:posOffset>
            </wp:positionV>
            <wp:extent cx="1402080" cy="1270635"/>
            <wp:effectExtent l="0" t="0" r="7620" b="5715"/>
            <wp:wrapNone/>
            <wp:docPr id="12" name="图片 7" descr="https://timgsa.baidu.com/timg?image&amp;quality=80&amp;size=b9999_10000&amp;sec=1487076141308&amp;di=4890609211f4200f1fe46578e4981e3d&amp;imgtype=0&amp;src=http%3A%2F%2Fa4.att.hudong.com%2F03%2F97%2F0130000043222013216897542726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7" descr="https://timgsa.baidu.com/timg?image&amp;quality=80&amp;size=b9999_10000&amp;sec=1487076141308&amp;di=4890609211f4200f1fe46578e4981e3d&amp;imgtype=0&amp;src=http%3A%2F%2Fa4.att.hudong.com%2F03%2F97%2F01300000432220132168975427267.jpg"/>
                    <pic:cNvPicPr>
                      <a:picLocks noChangeAspect="1"/>
                    </pic:cNvPicPr>
                  </pic:nvPicPr>
                  <pic:blipFill>
                    <a:blip r:embed="rId18"/>
                    <a:stretch>
                      <a:fillRect/>
                    </a:stretch>
                  </pic:blipFill>
                  <pic:spPr>
                    <a:xfrm>
                      <a:off x="0" y="0"/>
                      <a:ext cx="1402080" cy="127063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1552" behindDoc="0" locked="0" layoutInCell="1" allowOverlap="1">
            <wp:simplePos x="0" y="0"/>
            <wp:positionH relativeFrom="column">
              <wp:posOffset>3971925</wp:posOffset>
            </wp:positionH>
            <wp:positionV relativeFrom="paragraph">
              <wp:posOffset>83185</wp:posOffset>
            </wp:positionV>
            <wp:extent cx="1560195" cy="1236345"/>
            <wp:effectExtent l="0" t="0" r="1905" b="1905"/>
            <wp:wrapNone/>
            <wp:docPr id="13" name="图片 8" descr="https://timgsa.baidu.com/timg?image&amp;quality=80&amp;size=b9999_10000&amp;sec=1487076185306&amp;di=7459c47e7f6a12530fe985fbabc3499b&amp;imgtype=0&amp;src=http%3A%2F%2Fm.qqzhi.com%2Fupload%2Fimg_5_2948222186D1290552609_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8" descr="https://timgsa.baidu.com/timg?image&amp;quality=80&amp;size=b9999_10000&amp;sec=1487076185306&amp;di=7459c47e7f6a12530fe985fbabc3499b&amp;imgtype=0&amp;src=http%3A%2F%2Fm.qqzhi.com%2Fupload%2Fimg_5_2948222186D1290552609_23.jpg"/>
                    <pic:cNvPicPr>
                      <a:picLocks noChangeAspect="1"/>
                    </pic:cNvPicPr>
                  </pic:nvPicPr>
                  <pic:blipFill>
                    <a:blip r:embed="rId19"/>
                    <a:stretch>
                      <a:fillRect/>
                    </a:stretch>
                  </pic:blipFill>
                  <pic:spPr>
                    <a:xfrm>
                      <a:off x="0" y="0"/>
                      <a:ext cx="1560195" cy="1236345"/>
                    </a:xfrm>
                    <a:prstGeom prst="rect">
                      <a:avLst/>
                    </a:prstGeom>
                    <a:noFill/>
                    <a:ln w="9525">
                      <a:noFill/>
                    </a:ln>
                  </pic:spPr>
                </pic:pic>
              </a:graphicData>
            </a:graphic>
          </wp:anchor>
        </w:drawing>
      </w:r>
      <w:r>
        <w:rPr>
          <w:rFonts w:hint="default" w:ascii="Times New Roman" w:hAnsi="Times New Roman" w:cs="Times New Roman" w:eastAsiaTheme="minorEastAsia"/>
          <w:bCs/>
          <w:color w:val="000000" w:themeColor="text1"/>
          <w14:textFill>
            <w14:solidFill>
              <w14:schemeClr w14:val="tx1"/>
            </w14:solidFill>
          </w14:textFill>
        </w:rPr>
        <w:t xml:space="preserve">4、金黄色葡萄球菌：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检查结果判断与报告</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2576" behindDoc="0" locked="0" layoutInCell="1" allowOverlap="1">
            <wp:simplePos x="0" y="0"/>
            <wp:positionH relativeFrom="column">
              <wp:posOffset>4008120</wp:posOffset>
            </wp:positionH>
            <wp:positionV relativeFrom="paragraph">
              <wp:posOffset>28575</wp:posOffset>
            </wp:positionV>
            <wp:extent cx="1524000" cy="1144270"/>
            <wp:effectExtent l="0" t="0" r="0" b="17780"/>
            <wp:wrapNone/>
            <wp:docPr id="14" name="图片 10" descr="https://ss0.bdstatic.com/70cFvHSh_Q1YnxGkpoWK1HF6hhy/it/u=3814744242,2131393720&amp;fm=23&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0" descr="https://ss0.bdstatic.com/70cFvHSh_Q1YnxGkpoWK1HF6hhy/it/u=3814744242,2131393720&amp;fm=23&amp;gp=0.jpg"/>
                    <pic:cNvPicPr>
                      <a:picLocks noChangeAspect="1"/>
                    </pic:cNvPicPr>
                  </pic:nvPicPr>
                  <pic:blipFill>
                    <a:blip r:embed="rId20"/>
                    <a:stretch>
                      <a:fillRect/>
                    </a:stretch>
                  </pic:blipFill>
                  <pic:spPr>
                    <a:xfrm>
                      <a:off x="0" y="0"/>
                      <a:ext cx="1524000" cy="1144270"/>
                    </a:xfrm>
                    <a:prstGeom prst="rect">
                      <a:avLst/>
                    </a:prstGeom>
                    <a:noFill/>
                    <a:ln w="9525">
                      <a:noFill/>
                    </a:ln>
                  </pic:spPr>
                </pic:pic>
              </a:graphicData>
            </a:graphic>
          </wp:anchor>
        </w:drawing>
      </w:r>
      <w:r>
        <w:rPr>
          <w:rFonts w:hint="default" w:ascii="Times New Roman" w:hAnsi="Times New Roman" w:cs="Times New Roman" w:eastAsiaTheme="minorEastAsia"/>
          <w:bCs/>
          <w:color w:val="000000" w:themeColor="text1"/>
          <w14:textFill>
            <w14:solidFill>
              <w14:schemeClr w14:val="tx1"/>
            </w14:solidFill>
          </w14:textFill>
        </w:rPr>
        <w:t xml:space="preserve">5、破伤风杆菌：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检查结果判断与报告</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3600" behindDoc="0" locked="0" layoutInCell="1" allowOverlap="1">
            <wp:simplePos x="0" y="0"/>
            <wp:positionH relativeFrom="column">
              <wp:posOffset>2027555</wp:posOffset>
            </wp:positionH>
            <wp:positionV relativeFrom="paragraph">
              <wp:posOffset>230505</wp:posOffset>
            </wp:positionV>
            <wp:extent cx="1744345" cy="1278890"/>
            <wp:effectExtent l="0" t="0" r="8255" b="16510"/>
            <wp:wrapNone/>
            <wp:docPr id="15" name="图片 13" descr="https://ss1.bdstatic.com/70cFvXSh_Q1YnxGkpoWK1HF6hhy/it/u=12135455,3186534830&amp;fm=21&amp;gp=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3" descr="https://ss1.bdstatic.com/70cFvXSh_Q1YnxGkpoWK1HF6hhy/it/u=12135455,3186534830&amp;fm=21&amp;gp=0.jpg"/>
                    <pic:cNvPicPr>
                      <a:picLocks noChangeAspect="1"/>
                    </pic:cNvPicPr>
                  </pic:nvPicPr>
                  <pic:blipFill>
                    <a:blip r:embed="rId21"/>
                    <a:stretch>
                      <a:fillRect/>
                    </a:stretch>
                  </pic:blipFill>
                  <pic:spPr>
                    <a:xfrm>
                      <a:off x="0" y="0"/>
                      <a:ext cx="1744345" cy="127889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4624" behindDoc="0" locked="0" layoutInCell="1" allowOverlap="1">
            <wp:simplePos x="0" y="0"/>
            <wp:positionH relativeFrom="column">
              <wp:posOffset>4008120</wp:posOffset>
            </wp:positionH>
            <wp:positionV relativeFrom="paragraph">
              <wp:posOffset>230505</wp:posOffset>
            </wp:positionV>
            <wp:extent cx="1562100" cy="1327785"/>
            <wp:effectExtent l="0" t="0" r="0" b="5715"/>
            <wp:wrapNone/>
            <wp:docPr id="16" name="图片 12" descr="https://timgsa.baidu.com/timg?image&amp;quality=80&amp;size=b9999_10000&amp;sec=1487076392717&amp;di=42960faf5f8025baa8baa9c04ddca40e&amp;imgtype=0&amp;src=http%3A%2F%2Fwww.sj-tmdi.com%2Fuploadpic%2F200909%2F20090986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2" descr="https://timgsa.baidu.com/timg?image&amp;quality=80&amp;size=b9999_10000&amp;sec=1487076392717&amp;di=42960faf5f8025baa8baa9c04ddca40e&amp;imgtype=0&amp;src=http%3A%2F%2Fwww.sj-tmdi.com%2Fuploadpic%2F200909%2F200909866.JPG"/>
                    <pic:cNvPicPr>
                      <a:picLocks noChangeAspect="1"/>
                    </pic:cNvPicPr>
                  </pic:nvPicPr>
                  <pic:blipFill>
                    <a:blip r:embed="rId22"/>
                    <a:stretch>
                      <a:fillRect/>
                    </a:stretch>
                  </pic:blipFill>
                  <pic:spPr>
                    <a:xfrm>
                      <a:off x="0" y="0"/>
                      <a:ext cx="1562100" cy="1327785"/>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6.痢疾杆菌：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形态特征、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初步鉴别和分离培养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生化试验（IMViC）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检查结果判断与报告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四、含抑菌成分的生物药物菌检方法</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1、含抑菌成分的药物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2、含抑菌成分药品染菌原因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3、含抑菌成分供试品的确定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4、含抑菌成分供试液制备 </w:t>
      </w:r>
    </w:p>
    <w:p>
      <w:pPr>
        <w:tabs>
          <w:tab w:val="left" w:pos="3405"/>
        </w:tabs>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szCs w:val="21"/>
          <w14:textFill>
            <w14:solidFill>
              <w14:schemeClr w14:val="tx1"/>
            </w14:solidFill>
          </w14:textFill>
        </w:rPr>
        <w:t>作业布置及课程预习（5分钟）：</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1.复习本章节内容</w:t>
      </w:r>
    </w:p>
    <w:p>
      <w:pPr>
        <w:spacing w:line="400" w:lineRule="exact"/>
        <w:outlineLvl w:val="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2.预习下一章节</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tbl>
      <w:tblPr>
        <w:tblStyle w:val="13"/>
        <w:tblpPr w:leftFromText="180" w:rightFromText="180" w:vertAnchor="text" w:horzAnchor="margin" w:tblpY="157"/>
        <w:tblW w:w="910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2739"/>
        <w:gridCol w:w="1446"/>
        <w:gridCol w:w="1125"/>
        <w:gridCol w:w="1185"/>
        <w:gridCol w:w="146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bookmarkStart w:id="9" w:name="OLE_LINK10"/>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185"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第</w:t>
            </w:r>
            <w:r>
              <w:rPr>
                <w:rFonts w:hint="default" w:ascii="Times New Roman" w:hAnsi="Times New Roman" w:cs="Times New Roman" w:eastAsiaTheme="minorEastAsia"/>
                <w:color w:val="000000" w:themeColor="text1"/>
                <w:lang w:val="en-US" w:eastAsia="zh-CN"/>
                <w14:textFill>
                  <w14:solidFill>
                    <w14:schemeClr w14:val="tx1"/>
                  </w14:solidFill>
                </w14:textFill>
              </w:rPr>
              <w:t>五</w:t>
            </w:r>
            <w:r>
              <w:rPr>
                <w:rFonts w:hint="default" w:ascii="Times New Roman" w:hAnsi="Times New Roman" w:cs="Times New Roman" w:eastAsiaTheme="minorEastAsia"/>
                <w:color w:val="000000" w:themeColor="text1"/>
                <w14:textFill>
                  <w14:solidFill>
                    <w14:schemeClr w14:val="tx1"/>
                  </w14:solidFill>
                </w14:textFill>
              </w:rPr>
              <w:t>章 生物药物的酶学分析法</w:t>
            </w:r>
          </w:p>
        </w:tc>
        <w:tc>
          <w:tcPr>
            <w:tcW w:w="112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649"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年3月</w:t>
            </w:r>
            <w:r>
              <w:rPr>
                <w:rFonts w:hint="default" w:ascii="Times New Roman" w:hAnsi="Times New Roman" w:cs="Times New Roman" w:eastAsiaTheme="minorEastAsia"/>
                <w:b/>
                <w:color w:val="000000" w:themeColor="text1"/>
                <w:lang w:val="en-US" w:eastAsia="zh-CN"/>
                <w14:textFill>
                  <w14:solidFill>
                    <w14:schemeClr w14:val="tx1"/>
                  </w14:solidFill>
                </w14:textFill>
              </w:rPr>
              <w:t>27、29</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73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446"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25"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3</w:t>
            </w:r>
          </w:p>
        </w:tc>
        <w:tc>
          <w:tcPr>
            <w:tcW w:w="118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464"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bookmarkEnd w:id="9"/>
    </w:tbl>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概述</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1、理解酶免疫测定法的概念及基本原理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2、了解酶免疫测定法的分类</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酶免疫测定法的类型及操作步骤</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1、理解各种酶免疫测定法的原理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2、熟悉酶免疫测定法的操作步骤</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酶联方法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了解戊二醛法的酶联原理及方法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酶免疫测定法的技术要点</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1、熟悉酶免疫测定法的实验条件的建立</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2、了解酶与抗体活性、酶结合物、抗原最适浓度等测定</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其他酶免疫标记技术</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理解液相酶和均相酶免疫标记技术的原理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酶免疫测定法在生物药物分析中的应用实例</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了解胰岛素的测定</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放射免疫分析法简介</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1、理解放射免疫分析法的概念及基本原理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2、熟悉放射免疫分析法的实验条件的建立</w:t>
      </w:r>
    </w:p>
    <w:p>
      <w:pPr>
        <w:spacing w:line="400" w:lineRule="exact"/>
        <w:rPr>
          <w:rFonts w:hint="default" w:ascii="Times New Roman" w:hAnsi="Times New Roman" w:cs="Times New Roman" w:eastAsiaTheme="minorEastAsia"/>
          <w:b/>
          <w:bCs/>
          <w:color w:val="000000" w:themeColor="text1"/>
          <w:sz w:val="22"/>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w:t>
      </w:r>
      <w:r>
        <w:rPr>
          <w:rFonts w:hint="default" w:ascii="Times New Roman" w:hAnsi="Times New Roman" w:cs="Times New Roman" w:eastAsiaTheme="minorEastAsia"/>
          <w:b/>
          <w:bCs/>
          <w:color w:val="000000" w:themeColor="text1"/>
          <w:sz w:val="22"/>
          <w14:textFill>
            <w14:solidFill>
              <w14:schemeClr w14:val="tx1"/>
            </w14:solidFill>
          </w14:textFill>
        </w:rPr>
        <w:t>重点和难点</w:t>
      </w:r>
      <w:r>
        <w:rPr>
          <w:rFonts w:hint="default" w:ascii="Times New Roman" w:hAnsi="Times New Roman" w:cs="Times New Roman" w:eastAsiaTheme="minorEastAsia"/>
          <w:color w:val="000000" w:themeColor="text1"/>
          <w14:textFill>
            <w14:solidFill>
              <w14:schemeClr w14:val="tx1"/>
            </w14:solidFill>
          </w14:textFill>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①酶免疫测定法的原理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②酶免疫测定法的类型及操作步骤</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1、概述：（1）酶免疫测定法的分类；（2）酶免疫测定法的原理；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2、酶免疫测定法的类型及操作步骤</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 酶联方法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4、酶免疫测定法的技术要点（1）酶与抗体的活性测定；（2）结合物的定量测定；（3）酶结合物最适浓度的测定；（4）抗原最适浓度的测定；（5）底物最适时间的测定（6）酶与底物；</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5、其他酶免疫标记技术（1）液相酶免疫测定；（2）均相酶免疫测定；</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6、酶免疫测定法在生物药物分析中的应用实例</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7、放射免疫分析法简介（1）基本原理；（2）测定方法。</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第一节酶免疫测定技术</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复习上节学习内容：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简单介绍酶免疫测定技术，由此引出本节课讲授的具体内容：酶免疫测定法（到此课程进行20分钟）。</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类型及操作步骤：</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酶联方法：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技术要点：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其他酶标志免疫技术：</w:t>
      </w:r>
    </w:p>
    <w:p>
      <w:pPr>
        <w:spacing w:line="400" w:lineRule="exact"/>
        <w:ind w:firstLine="411"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在生药分析中的应用实例：</w:t>
      </w:r>
    </w:p>
    <w:p>
      <w:pPr>
        <w:spacing w:line="400" w:lineRule="exact"/>
        <w:ind w:firstLine="411"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酶免疫分析</w:t>
      </w:r>
      <w:r>
        <w:rPr>
          <w:rFonts w:hint="default" w:ascii="Times New Roman" w:hAnsi="Times New Roman" w:cs="Times New Roman" w:eastAsiaTheme="minorEastAsia"/>
          <w:color w:val="000000" w:themeColor="text1"/>
          <w14:textFill>
            <w14:solidFill>
              <w14:schemeClr w14:val="tx1"/>
            </w14:solidFill>
          </w14:textFill>
        </w:rPr>
        <w:t>法简介：</w:t>
      </w:r>
    </w:p>
    <w:p>
      <w:pPr>
        <w:spacing w:line="400" w:lineRule="exact"/>
        <w:ind w:firstLine="411"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（结合多数幻灯片内容播放，相互配合进行讲解。需要理解和识记的内容播放内容教慢）</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酶免疫分析是一种非放射性标记免疫分析技术，以酶标记抗原或抗体作为示踪物，由高活性的酶催化底物显色或发光。依据免疫反应后是否需要分离结合的酶标志物可以分为均相和非均相。</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酶免疫测定法的原理</w:t>
      </w:r>
    </w:p>
    <w:p>
      <w:pPr>
        <w:spacing w:line="400" w:lineRule="exact"/>
        <w:ind w:firstLine="359" w:firstLineChars="171"/>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pict>
          <v:shape id="_x0000_s2056" o:spid="_x0000_s2056" o:spt="75" type="#_x0000_t75" style="position:absolute;left:0pt;margin-left:107.1pt;margin-top:3.1pt;height:90pt;width:101pt;z-index:251703296;mso-width-relative:page;mso-height-relative:page;" o:ole="t" filled="f" o:preferrelative="t" stroked="f" coordsize="21600,21600">
            <v:path/>
            <v:fill on="f" focussize="0,0"/>
            <v:stroke on="f" joinstyle="miter"/>
            <v:imagedata r:id="rId24" o:title=""/>
            <o:lock v:ext="edit" aspectratio="t"/>
          </v:shape>
          <o:OLEObject Type="Embed" ProgID="Equation.3" ShapeID="_x0000_s2056" DrawAspect="Content" ObjectID="_1468075725" r:id="rId23">
            <o:LockedField>false</o:LockedField>
          </o:OLEObject>
        </w:pict>
      </w:r>
    </w:p>
    <w:p>
      <w:pPr>
        <w:spacing w:line="400" w:lineRule="exact"/>
        <w:ind w:firstLine="359" w:firstLineChars="171"/>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ind w:firstLine="359" w:firstLineChars="171"/>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ind w:firstLine="359" w:firstLineChars="171"/>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ind w:firstLine="359" w:firstLineChars="171"/>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酶免疫法测定的类型及操作步骤：</w:t>
      </w:r>
    </w:p>
    <w:p>
      <w:pPr>
        <w:numPr>
          <w:ilvl w:val="0"/>
          <w:numId w:val="7"/>
        </w:numPr>
        <w:spacing w:line="400" w:lineRule="exact"/>
        <w:ind w:left="0" w:firstLine="0"/>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双抗体夹心法：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原理：检测抗原最常用的方法。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操作步骤：</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固相抗体---加待检标本----加酶标抗体-----加底物显色</w:t>
      </w:r>
    </w:p>
    <w:p>
      <w:pPr>
        <w:numPr>
          <w:ilvl w:val="0"/>
          <w:numId w:val="7"/>
        </w:numPr>
        <w:spacing w:line="400" w:lineRule="exact"/>
        <w:ind w:left="0" w:firstLine="0"/>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双位点一步法：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原理：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操作步骤：</w:t>
      </w:r>
    </w:p>
    <w:p>
      <w:pPr>
        <w:numPr>
          <w:ilvl w:val="0"/>
          <w:numId w:val="7"/>
        </w:numPr>
        <w:spacing w:line="400" w:lineRule="exact"/>
        <w:ind w:left="0" w:firstLine="0"/>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间接法</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原理：</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二、</w:t>
      </w:r>
      <w:r>
        <w:rPr>
          <w:rFonts w:hint="default" w:ascii="Times New Roman" w:hAnsi="Times New Roman" w:cs="Times New Roman" w:eastAsiaTheme="minorEastAsia"/>
          <w:b/>
          <w:bCs/>
          <w:color w:val="000000" w:themeColor="text1"/>
          <w14:textFill>
            <w14:solidFill>
              <w14:schemeClr w14:val="tx1"/>
            </w14:solidFill>
          </w14:textFill>
        </w:rPr>
        <w:t>酶免疫测定法技术要点及其他酶免疫测定技术</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本节涉及图片较多，需要紧密结合PPT进行讲解。主要按照下面的PPT纲领进行图片和文本的结合讲解。</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酶免疫测定法技术要点：</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试剂</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酶与抗体的活性测定</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结合物的定量测定</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酶结合物最适浓度的测定</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抗原最适浓度的测定</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底物的最适时间测定</w:t>
      </w:r>
    </w:p>
    <w:p>
      <w:pPr>
        <w:numPr>
          <w:ilvl w:val="0"/>
          <w:numId w:val="8"/>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酶和底物</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酶免疫测定法在生药分析中的应用实例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1、蛇毒的测定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2、胰岛素的测定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3、吗啡含量测定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4、甲状腺激素测定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5、芍药苷肠内代谢产物分析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6、用EMIT测定血中利多卡因浓度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7、氨苄西林的测定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8、夹心法测定IL-2</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放射免疫分析法简介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基本原理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测定方法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RIA在生药中应用实例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其他酶标志免疫技术</w:t>
      </w:r>
    </w:p>
    <w:p>
      <w:pPr>
        <w:numPr>
          <w:ilvl w:val="0"/>
          <w:numId w:val="9"/>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液相酶免疫测定：</w:t>
      </w:r>
    </w:p>
    <w:p>
      <w:pPr>
        <w:numPr>
          <w:ilvl w:val="0"/>
          <w:numId w:val="9"/>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均相酶免疫测定：</w:t>
      </w:r>
    </w:p>
    <w:p>
      <w:pPr>
        <w:spacing w:line="400" w:lineRule="exact"/>
        <w:rPr>
          <w:rFonts w:hint="default" w:ascii="Times New Roman" w:hAnsi="Times New Roman" w:cs="Times New Roman" w:eastAsiaTheme="minorEastAsia"/>
          <w:b/>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szCs w:val="21"/>
          <w14:textFill>
            <w14:solidFill>
              <w14:schemeClr w14:val="tx1"/>
            </w14:solidFill>
          </w14:textFill>
        </w:rPr>
        <w:t>作业布置及课程预习（PPT给出）：</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1.酶免疫测定技术的原理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2.酶免疫测定技术的应用实例</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第二节酶法分析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教学具体过程（90分钟）：</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复习上节学习内容：</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复习酶免疫分析法的原理和种类。</w:t>
      </w:r>
      <w:r>
        <w:rPr>
          <w:rFonts w:hint="default" w:ascii="Times New Roman" w:hAnsi="Times New Roman" w:cs="Times New Roman" w:eastAsiaTheme="minorEastAsia"/>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 xml:space="preserve">相关教学幻灯片，同时引出本节内容： </w:t>
      </w:r>
    </w:p>
    <w:p>
      <w:pPr>
        <w:numPr>
          <w:ilvl w:val="0"/>
          <w:numId w:val="10"/>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酶法分析在生物药物分析中的应用有两个方面 </w:t>
      </w:r>
    </w:p>
    <w:p>
      <w:pPr>
        <w:numPr>
          <w:ilvl w:val="0"/>
          <w:numId w:val="1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以酶为分析对象 </w:t>
      </w:r>
    </w:p>
    <w:p>
      <w:pPr>
        <w:numPr>
          <w:ilvl w:val="0"/>
          <w:numId w:val="1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以酶作为分析工具货分析试剂 </w:t>
      </w:r>
    </w:p>
    <w:p>
      <w:pPr>
        <w:numPr>
          <w:ilvl w:val="0"/>
          <w:numId w:val="12"/>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酶法分析具有独特的优点 </w:t>
      </w:r>
    </w:p>
    <w:p>
      <w:pPr>
        <w:numPr>
          <w:ilvl w:val="0"/>
          <w:numId w:val="13"/>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特异性强       干扰少 </w:t>
      </w:r>
    </w:p>
    <w:p>
      <w:pPr>
        <w:numPr>
          <w:ilvl w:val="0"/>
          <w:numId w:val="13"/>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操作简便       样品及试剂用量少 </w:t>
      </w:r>
    </w:p>
    <w:p>
      <w:pPr>
        <w:numPr>
          <w:ilvl w:val="0"/>
          <w:numId w:val="13"/>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测定快速       灵敏度高</w:t>
      </w:r>
    </w:p>
    <w:p>
      <w:pPr>
        <w:numPr>
          <w:ilvl w:val="0"/>
          <w:numId w:val="14"/>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酶法分析的原理 </w:t>
      </w:r>
    </w:p>
    <w:p>
      <w:pPr>
        <w:numPr>
          <w:ilvl w:val="0"/>
          <w:numId w:val="15"/>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酶的定义及性质</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酶是具有专一性催化功能的蛋白质，具有以下特性 </w:t>
      </w:r>
    </w:p>
    <w:p>
      <w:pPr>
        <w:numPr>
          <w:ilvl w:val="0"/>
          <w:numId w:val="1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高效 </w:t>
      </w:r>
    </w:p>
    <w:p>
      <w:pPr>
        <w:numPr>
          <w:ilvl w:val="0"/>
          <w:numId w:val="1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反应中不变化 </w:t>
      </w:r>
    </w:p>
    <w:p>
      <w:pPr>
        <w:numPr>
          <w:ilvl w:val="0"/>
          <w:numId w:val="1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并不影响可逆反应的平衡，但显著提高达到平衡的反应速度 </w:t>
      </w:r>
    </w:p>
    <w:p>
      <w:pPr>
        <w:numPr>
          <w:ilvl w:val="0"/>
          <w:numId w:val="17"/>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酶法测定的原则 </w:t>
      </w:r>
    </w:p>
    <w:p>
      <w:pPr>
        <w:numPr>
          <w:ilvl w:val="0"/>
          <w:numId w:val="18"/>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酶活性 </w:t>
      </w:r>
    </w:p>
    <w:p>
      <w:pPr>
        <w:numPr>
          <w:ilvl w:val="0"/>
          <w:numId w:val="18"/>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代谢物浓度 </w:t>
      </w:r>
    </w:p>
    <w:p>
      <w:pPr>
        <w:numPr>
          <w:ilvl w:val="0"/>
          <w:numId w:val="18"/>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酶底物复合物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5648" behindDoc="0" locked="0" layoutInCell="1" allowOverlap="1">
            <wp:simplePos x="0" y="0"/>
            <wp:positionH relativeFrom="column">
              <wp:posOffset>7620</wp:posOffset>
            </wp:positionH>
            <wp:positionV relativeFrom="paragraph">
              <wp:posOffset>162560</wp:posOffset>
            </wp:positionV>
            <wp:extent cx="2178685" cy="617220"/>
            <wp:effectExtent l="0" t="0" r="12065" b="11430"/>
            <wp:wrapNone/>
            <wp:docPr id="17"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119"/>
                    <pic:cNvPicPr>
                      <a:picLocks noChangeAspect="1"/>
                    </pic:cNvPicPr>
                  </pic:nvPicPr>
                  <pic:blipFill>
                    <a:blip r:embed="rId25"/>
                    <a:stretch>
                      <a:fillRect/>
                    </a:stretch>
                  </pic:blipFill>
                  <pic:spPr>
                    <a:xfrm>
                      <a:off x="0" y="0"/>
                      <a:ext cx="2178685" cy="617220"/>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0"/>
          <w:numId w:val="19"/>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酶法分析的原理 </w:t>
      </w:r>
    </w:p>
    <w:p>
      <w:pPr>
        <w:numPr>
          <w:ilvl w:val="0"/>
          <w:numId w:val="20"/>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酶反应动力学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6672" behindDoc="0" locked="0" layoutInCell="1" allowOverlap="1">
            <wp:simplePos x="0" y="0"/>
            <wp:positionH relativeFrom="column">
              <wp:posOffset>7620</wp:posOffset>
            </wp:positionH>
            <wp:positionV relativeFrom="paragraph">
              <wp:posOffset>130175</wp:posOffset>
            </wp:positionV>
            <wp:extent cx="2640965" cy="1619250"/>
            <wp:effectExtent l="0" t="0" r="6985" b="0"/>
            <wp:wrapNone/>
            <wp:docPr id="18" name="Object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Object 2"/>
                    <pic:cNvPicPr>
                      <a:picLocks noChangeAspect="1"/>
                    </pic:cNvPicPr>
                  </pic:nvPicPr>
                  <pic:blipFill>
                    <a:blip r:embed="rId26"/>
                    <a:srcRect t="10011" b="4172"/>
                    <a:stretch>
                      <a:fillRect/>
                    </a:stretch>
                  </pic:blipFill>
                  <pic:spPr>
                    <a:xfrm>
                      <a:off x="0" y="0"/>
                      <a:ext cx="2640965" cy="1619250"/>
                    </a:xfrm>
                    <a:prstGeom prst="rect">
                      <a:avLst/>
                    </a:prstGeom>
                    <a:noFill/>
                    <a:ln w="12700">
                      <a:noFill/>
                    </a:ln>
                  </pic:spPr>
                </pic:pic>
              </a:graphicData>
            </a:graphic>
          </wp:anchor>
        </w:drawing>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0"/>
          <w:numId w:val="21"/>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酶试剂的动力学原理 </w:t>
      </w:r>
    </w:p>
    <w:p>
      <w:pPr>
        <w:numPr>
          <w:ilvl w:val="0"/>
          <w:numId w:val="22"/>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所用酶试剂有三种类型 </w:t>
      </w:r>
    </w:p>
    <w:p>
      <w:pPr>
        <w:numPr>
          <w:ilvl w:val="0"/>
          <w:numId w:val="23"/>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单酶法 </w:t>
      </w:r>
    </w:p>
    <w:p>
      <w:pPr>
        <w:numPr>
          <w:ilvl w:val="0"/>
          <w:numId w:val="23"/>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酶偶联法 </w:t>
      </w:r>
    </w:p>
    <w:p>
      <w:pPr>
        <w:numPr>
          <w:ilvl w:val="0"/>
          <w:numId w:val="23"/>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二底物或多底物的酶反应 </w:t>
      </w:r>
    </w:p>
    <w:p>
      <w:pPr>
        <w:numPr>
          <w:ilvl w:val="0"/>
          <w:numId w:val="24"/>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测定方法两类 </w:t>
      </w:r>
    </w:p>
    <w:p>
      <w:pPr>
        <w:numPr>
          <w:ilvl w:val="0"/>
          <w:numId w:val="25"/>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酶反应速率 </w:t>
      </w:r>
    </w:p>
    <w:p>
      <w:pPr>
        <w:numPr>
          <w:ilvl w:val="0"/>
          <w:numId w:val="25"/>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固定反应时间 </w:t>
      </w:r>
    </w:p>
    <w:p>
      <w:pPr>
        <w:numPr>
          <w:ilvl w:val="0"/>
          <w:numId w:val="26"/>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单酶试剂的动力学 </w:t>
      </w:r>
    </w:p>
    <w:p>
      <w:pPr>
        <w:numPr>
          <w:ilvl w:val="0"/>
          <w:numId w:val="27"/>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测定方法为在被测物中加入酶，根据反应的速率或最终产物的浓度求得被测物的含量 </w:t>
      </w:r>
    </w:p>
    <w:p>
      <w:pPr>
        <w:numPr>
          <w:ilvl w:val="0"/>
          <w:numId w:val="28"/>
        </w:numPr>
        <w:tabs>
          <w:tab w:val="left" w:pos="3405"/>
        </w:tabs>
        <w:spacing w:line="400" w:lineRule="exact"/>
        <w:ind w:hanging="72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酶偶联测定法的动力学 </w:t>
      </w:r>
    </w:p>
    <w:p>
      <w:pPr>
        <w:numPr>
          <w:ilvl w:val="0"/>
          <w:numId w:val="29"/>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一个酶反应的产物如不能或不易直接测定，需要加另一个酶，把它转变为另一产物然后进行测定</w:t>
      </w:r>
    </w:p>
    <w:p>
      <w:pPr>
        <w:numPr>
          <w:ilvl w:val="0"/>
          <w:numId w:val="30"/>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酶法分析的检测方法 </w:t>
      </w:r>
    </w:p>
    <w:p>
      <w:pPr>
        <w:numPr>
          <w:ilvl w:val="0"/>
          <w:numId w:val="3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紫外-可见分光光度法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7696" behindDoc="0" locked="0" layoutInCell="1" allowOverlap="1">
            <wp:simplePos x="0" y="0"/>
            <wp:positionH relativeFrom="column">
              <wp:posOffset>143510</wp:posOffset>
            </wp:positionH>
            <wp:positionV relativeFrom="paragraph">
              <wp:posOffset>38735</wp:posOffset>
            </wp:positionV>
            <wp:extent cx="2386330" cy="2140585"/>
            <wp:effectExtent l="0" t="0" r="13970" b="12065"/>
            <wp:wrapNone/>
            <wp:docPr id="19" name="图片 122" descr="http://homepage.ntu.edu.tw/~shihchung/ECX/images/AF2.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22" descr="http://homepage.ntu.edu.tw/~shihchung/ECX/images/AF2.2.gif"/>
                    <pic:cNvPicPr>
                      <a:picLocks noChangeAspect="1"/>
                    </pic:cNvPicPr>
                  </pic:nvPicPr>
                  <pic:blipFill>
                    <a:blip r:embed="rId27"/>
                    <a:srcRect l="44235" b="27716"/>
                    <a:stretch>
                      <a:fillRect/>
                    </a:stretch>
                  </pic:blipFill>
                  <pic:spPr>
                    <a:xfrm>
                      <a:off x="0" y="0"/>
                      <a:ext cx="2386330" cy="2140585"/>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0"/>
          <w:numId w:val="3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荧光光度法 </w:t>
      </w:r>
    </w:p>
    <w:p>
      <w:pPr>
        <w:numPr>
          <w:ilvl w:val="0"/>
          <w:numId w:val="3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氧电极法 </w:t>
      </w:r>
    </w:p>
    <w:p>
      <w:pPr>
        <w:numPr>
          <w:ilvl w:val="0"/>
          <w:numId w:val="3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固定化酶和酶电极法</w:t>
      </w:r>
    </w:p>
    <w:p>
      <w:pPr>
        <w:numPr>
          <w:ilvl w:val="0"/>
          <w:numId w:val="32"/>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终点测定法 </w:t>
      </w:r>
    </w:p>
    <w:p>
      <w:pPr>
        <w:numPr>
          <w:ilvl w:val="0"/>
          <w:numId w:val="33"/>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通过直接测定转化前后底物的减少量、产物的增加量或辅酶的变化可以定量测定待测物，称为“终点测定法” </w:t>
      </w:r>
    </w:p>
    <w:p>
      <w:pPr>
        <w:numPr>
          <w:ilvl w:val="0"/>
          <w:numId w:val="33"/>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应用终点测定法应满足以下条件 </w:t>
      </w:r>
    </w:p>
    <w:p>
      <w:pPr>
        <w:numPr>
          <w:ilvl w:val="0"/>
          <w:numId w:val="34"/>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有专一作用于该被测物的酶和酶制剂 </w:t>
      </w:r>
    </w:p>
    <w:p>
      <w:pPr>
        <w:numPr>
          <w:ilvl w:val="0"/>
          <w:numId w:val="34"/>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能确定酶反应终点 </w:t>
      </w:r>
    </w:p>
    <w:p>
      <w:pPr>
        <w:numPr>
          <w:ilvl w:val="0"/>
          <w:numId w:val="34"/>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反应中底物减少、产物增加或辅酶的变化等可以借助简便的方法测定 </w:t>
      </w:r>
    </w:p>
    <w:p>
      <w:pPr>
        <w:numPr>
          <w:ilvl w:val="0"/>
          <w:numId w:val="35"/>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单酶反应测定法 </w:t>
      </w:r>
    </w:p>
    <w:p>
      <w:pPr>
        <w:numPr>
          <w:ilvl w:val="0"/>
          <w:numId w:val="3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利用底物量的减少测定法 </w:t>
      </w:r>
    </w:p>
    <w:p>
      <w:pPr>
        <w:numPr>
          <w:ilvl w:val="0"/>
          <w:numId w:val="3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利用产物量的增加测定法 </w:t>
      </w:r>
    </w:p>
    <w:p>
      <w:pPr>
        <w:numPr>
          <w:ilvl w:val="0"/>
          <w:numId w:val="36"/>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辅酶变化量的测定 </w:t>
      </w:r>
    </w:p>
    <w:p>
      <w:pPr>
        <w:numPr>
          <w:ilvl w:val="0"/>
          <w:numId w:val="37"/>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偶联指示酶反应测定法 </w:t>
      </w:r>
    </w:p>
    <w:p>
      <w:pPr>
        <w:numPr>
          <w:ilvl w:val="0"/>
          <w:numId w:val="38"/>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脱氢酶为指示剂 </w:t>
      </w:r>
    </w:p>
    <w:p>
      <w:pPr>
        <w:numPr>
          <w:ilvl w:val="0"/>
          <w:numId w:val="38"/>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以脱氢酶以外的酶作指示剂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8720" behindDoc="0" locked="0" layoutInCell="1" allowOverlap="1">
            <wp:simplePos x="0" y="0"/>
            <wp:positionH relativeFrom="column">
              <wp:posOffset>243840</wp:posOffset>
            </wp:positionH>
            <wp:positionV relativeFrom="paragraph">
              <wp:posOffset>73660</wp:posOffset>
            </wp:positionV>
            <wp:extent cx="2948940" cy="525780"/>
            <wp:effectExtent l="0" t="0" r="3810" b="7620"/>
            <wp:wrapNone/>
            <wp:docPr id="20" name="对象 5"/>
            <wp:cNvGraphicFramePr/>
            <a:graphic xmlns:a="http://schemas.openxmlformats.org/drawingml/2006/main">
              <a:graphicData uri="http://schemas.openxmlformats.org/drawingml/2006/picture">
                <pic:pic xmlns:pic="http://schemas.openxmlformats.org/drawingml/2006/picture">
                  <pic:nvPicPr>
                    <pic:cNvPr id="20" name="对象 5"/>
                    <pic:cNvPicPr/>
                  </pic:nvPicPr>
                  <pic:blipFill>
                    <a:blip r:embed="rId28"/>
                    <a:srcRect l="-594" t="-2568" b="-1541"/>
                    <a:stretch>
                      <a:fillRect/>
                    </a:stretch>
                  </pic:blipFill>
                  <pic:spPr>
                    <a:xfrm>
                      <a:off x="0" y="0"/>
                      <a:ext cx="2948940" cy="525780"/>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0"/>
          <w:numId w:val="39"/>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反应速率法 </w:t>
      </w:r>
    </w:p>
    <w:p>
      <w:pPr>
        <w:numPr>
          <w:ilvl w:val="0"/>
          <w:numId w:val="40"/>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测定反应初速度，其与被测物质的浓度成正比关系 </w:t>
      </w:r>
    </w:p>
    <w:p>
      <w:pPr>
        <w:numPr>
          <w:ilvl w:val="0"/>
          <w:numId w:val="40"/>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动力学测定法 </w:t>
      </w:r>
    </w:p>
    <w:p>
      <w:pPr>
        <w:numPr>
          <w:ilvl w:val="0"/>
          <w:numId w:val="41"/>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酶循环放大分析法 </w:t>
      </w:r>
    </w:p>
    <w:p>
      <w:pPr>
        <w:numPr>
          <w:ilvl w:val="0"/>
          <w:numId w:val="42"/>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利用酶的底物特异性来放大靶物质的测定方法 </w:t>
      </w:r>
    </w:p>
    <w:p>
      <w:pPr>
        <w:numPr>
          <w:ilvl w:val="0"/>
          <w:numId w:val="42"/>
        </w:num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仅循环靶物质，减少了样品中存在的其他物质对测定的干扰 </w:t>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79744" behindDoc="0" locked="0" layoutInCell="1" allowOverlap="1">
            <wp:simplePos x="0" y="0"/>
            <wp:positionH relativeFrom="column">
              <wp:posOffset>22860</wp:posOffset>
            </wp:positionH>
            <wp:positionV relativeFrom="paragraph">
              <wp:posOffset>159385</wp:posOffset>
            </wp:positionV>
            <wp:extent cx="3032760" cy="1204595"/>
            <wp:effectExtent l="0" t="0" r="15240" b="14605"/>
            <wp:wrapNone/>
            <wp:docPr id="21" name="对象 6"/>
            <wp:cNvGraphicFramePr/>
            <a:graphic xmlns:a="http://schemas.openxmlformats.org/drawingml/2006/main">
              <a:graphicData uri="http://schemas.openxmlformats.org/drawingml/2006/picture">
                <pic:pic xmlns:pic="http://schemas.openxmlformats.org/drawingml/2006/picture">
                  <pic:nvPicPr>
                    <pic:cNvPr id="21" name="对象 6"/>
                    <pic:cNvPicPr/>
                  </pic:nvPicPr>
                  <pic:blipFill>
                    <a:blip r:embed="rId29"/>
                    <a:srcRect b="-583"/>
                    <a:stretch>
                      <a:fillRect/>
                    </a:stretch>
                  </pic:blipFill>
                  <pic:spPr>
                    <a:xfrm>
                      <a:off x="0" y="0"/>
                      <a:ext cx="3032760" cy="1204595"/>
                    </a:xfrm>
                    <a:prstGeom prst="rect">
                      <a:avLst/>
                    </a:prstGeom>
                    <a:noFill/>
                    <a:ln w="9525">
                      <a:noFill/>
                    </a:ln>
                  </pic:spPr>
                </pic:pic>
              </a:graphicData>
            </a:graphic>
          </wp:anchor>
        </w:drawing>
      </w: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tabs>
          <w:tab w:val="left" w:pos="3405"/>
        </w:tabs>
        <w:spacing w:line="400" w:lineRule="exact"/>
        <w:ind w:left="360"/>
        <w:rPr>
          <w:rFonts w:hint="default" w:ascii="Times New Roman" w:hAnsi="Times New Roman" w:cs="Times New Roman" w:eastAsiaTheme="minorEastAsia"/>
          <w:b/>
          <w:bCs/>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tabs>
          <w:tab w:val="left" w:pos="3405"/>
        </w:tabs>
        <w:spacing w:line="400" w:lineRule="exact"/>
        <w:ind w:left="360"/>
        <w:outlineLvl w:val="0"/>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szCs w:val="21"/>
          <w14:textFill>
            <w14:solidFill>
              <w14:schemeClr w14:val="tx1"/>
            </w14:solidFill>
          </w14:textFill>
        </w:rPr>
        <w:t>作业布置及课程预习（PPT给出）：</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1.什么酶分析的终点法？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2.酶分析循环放大法的操作步骤。</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tabs>
          <w:tab w:val="left" w:pos="3405"/>
        </w:tabs>
        <w:spacing w:line="400" w:lineRule="exact"/>
        <w:ind w:firstLine="420" w:firstLineChars="200"/>
        <w:rPr>
          <w:rFonts w:hint="default" w:ascii="Times New Roman" w:hAnsi="Times New Roman" w:cs="Times New Roman" w:eastAsiaTheme="minorEastAsia"/>
          <w:color w:val="000000" w:themeColor="text1"/>
          <w:kern w:val="0"/>
          <w:szCs w:val="21"/>
          <w14:textFill>
            <w14:solidFill>
              <w14:schemeClr w14:val="tx1"/>
            </w14:solidFill>
          </w14:textFill>
        </w:rPr>
      </w:pPr>
    </w:p>
    <w:tbl>
      <w:tblPr>
        <w:tblStyle w:val="13"/>
        <w:tblpPr w:leftFromText="180" w:rightFromText="180" w:vertAnchor="text" w:horzAnchor="margin" w:tblpY="157"/>
        <w:tblW w:w="89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2339"/>
        <w:gridCol w:w="1345"/>
        <w:gridCol w:w="1275"/>
        <w:gridCol w:w="1536"/>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3684"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六</w:t>
            </w:r>
            <w:r>
              <w:rPr>
                <w:rFonts w:hint="default" w:ascii="Times New Roman" w:hAnsi="Times New Roman" w:cs="Times New Roman" w:eastAsiaTheme="minorEastAsia"/>
                <w:color w:val="000000" w:themeColor="text1"/>
                <w:sz w:val="24"/>
                <w:szCs w:val="32"/>
                <w14:textFill>
                  <w14:solidFill>
                    <w14:schemeClr w14:val="tx1"/>
                  </w14:solidFill>
                </w14:textFill>
              </w:rPr>
              <w:t>章 抗生素类药物的分析</w:t>
            </w:r>
          </w:p>
        </w:tc>
        <w:tc>
          <w:tcPr>
            <w:tcW w:w="127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84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3、5、10、12</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33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34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275"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8</w:t>
            </w:r>
          </w:p>
        </w:tc>
        <w:tc>
          <w:tcPr>
            <w:tcW w:w="1536"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304"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tbl>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szCs w:val="21"/>
          <w14:textFill>
            <w14:solidFill>
              <w14:schemeClr w14:val="tx1"/>
            </w14:solidFill>
          </w14:textFill>
        </w:rPr>
        <w:t>【教学目标】</w:t>
      </w:r>
      <w:r>
        <w:rPr>
          <w:rFonts w:hint="default" w:ascii="Times New Roman" w:hAnsi="Times New Roman" w:cs="Times New Roman" w:eastAsiaTheme="minorEastAsia"/>
          <w:color w:val="000000" w:themeColor="text1"/>
          <w:szCs w:val="21"/>
          <w14:textFill>
            <w14:solidFill>
              <w14:schemeClr w14:val="tx1"/>
            </w14:solidFill>
          </w14:textFill>
        </w:rPr>
        <w:br w:type="textWrapping"/>
      </w:r>
      <w:r>
        <w:rPr>
          <w:rFonts w:hint="default" w:ascii="Times New Roman" w:hAnsi="Times New Roman" w:cs="Times New Roman" w:eastAsiaTheme="minorEastAsia"/>
          <w:szCs w:val="21"/>
        </w:rPr>
        <w:t>概述</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1、了解抗生素类药物的检查项目</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2、理解抗生素效价的单位</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3、了解微生物检定用标准品</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抗生素类药物的鉴别</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1、了解抗生素类药物的鉴别的常用方法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2、熟悉β-内酰胺类、氨基糖苷类、四环类、大环内酯类、多烯大环内酯类等结构和鉴别方法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抗生素类药物的杂质检查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1、熟悉抗生素类药物中高分子杂质、降解产物及异构体的检查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2、了解抗生素类药物的无机杂质、残留溶媒的检查</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抗生素效价微生物检定法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1、熟悉抗生素效价微生物检定法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2、理解抗生素效价管碟法测定原理和计算</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3、了解抗生素效价管碟法测定结果的影响因素及控制和操作技术</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生物统计法在抗生素效价检定中的应用</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1、了解生物统计法在抗生素效价检定中的作用</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2、熟悉抗生素效价测定的生物统计计算步骤</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抗生素类药物含量的物理化学测定法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1、熟悉容量分析法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2、了解光谱测定法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3、掌握色谱测定法</w:t>
      </w:r>
    </w:p>
    <w:p>
      <w:pPr>
        <w:pStyle w:val="5"/>
        <w:widowControl/>
        <w:spacing w:line="400" w:lineRule="exact"/>
        <w:jc w:val="left"/>
        <w:rPr>
          <w:rFonts w:hint="default" w:ascii="Times New Roman" w:hAnsi="Times New Roman" w:cs="Times New Roman" w:eastAsiaTheme="minorEastAsia"/>
          <w:b w:val="0"/>
          <w:color w:val="000000" w:themeColor="text1"/>
          <w:sz w:val="21"/>
          <w:szCs w:val="21"/>
          <w14:textFill>
            <w14:solidFill>
              <w14:schemeClr w14:val="tx1"/>
            </w14:solidFill>
          </w14:textFill>
        </w:rPr>
      </w:pPr>
      <w:r>
        <w:rPr>
          <w:rFonts w:hint="default" w:ascii="Times New Roman" w:hAnsi="Times New Roman" w:cs="Times New Roman" w:eastAsiaTheme="minorEastAsia"/>
          <w:color w:val="000000" w:themeColor="text1"/>
          <w:sz w:val="21"/>
          <w:szCs w:val="21"/>
          <w14:textFill>
            <w14:solidFill>
              <w14:schemeClr w14:val="tx1"/>
            </w14:solidFill>
          </w14:textFill>
        </w:rPr>
        <w:t>【重点与难点】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1.抗生物素类药物的鉴别</w:t>
      </w:r>
    </w:p>
    <w:p>
      <w:pPr>
        <w:pStyle w:val="5"/>
        <w:widowControl/>
        <w:spacing w:line="400" w:lineRule="exact"/>
        <w:jc w:val="left"/>
        <w:rPr>
          <w:rFonts w:hint="default" w:ascii="Times New Roman" w:hAnsi="Times New Roman" w:cs="Times New Roman" w:eastAsiaTheme="minorEastAsia"/>
          <w:b w:val="0"/>
          <w:color w:val="000000" w:themeColor="text1"/>
          <w:sz w:val="21"/>
          <w:szCs w:val="21"/>
          <w14:textFill>
            <w14:solidFill>
              <w14:schemeClr w14:val="tx1"/>
            </w14:solidFill>
          </w14:textFill>
        </w:rPr>
      </w:pPr>
      <w:r>
        <w:rPr>
          <w:rFonts w:hint="default" w:ascii="Times New Roman" w:hAnsi="Times New Roman" w:cs="Times New Roman" w:eastAsiaTheme="minorEastAsia"/>
          <w:b w:val="0"/>
          <w:color w:val="000000" w:themeColor="text1"/>
          <w:sz w:val="21"/>
          <w:szCs w:val="21"/>
          <w14:textFill>
            <w14:solidFill>
              <w14:schemeClr w14:val="tx1"/>
            </w14:solidFill>
          </w14:textFill>
        </w:rPr>
        <w:t>2.抗生物素类药物含量的物理化学测定法</w:t>
      </w:r>
    </w:p>
    <w:p>
      <w:pPr>
        <w:pStyle w:val="5"/>
        <w:widowControl/>
        <w:spacing w:line="400" w:lineRule="exact"/>
        <w:jc w:val="left"/>
        <w:rPr>
          <w:rFonts w:hint="default" w:ascii="Times New Roman" w:hAnsi="Times New Roman" w:cs="Times New Roman" w:eastAsiaTheme="minorEastAsia"/>
          <w:color w:val="000000" w:themeColor="text1"/>
          <w:sz w:val="21"/>
          <w:szCs w:val="21"/>
          <w14:textFill>
            <w14:solidFill>
              <w14:schemeClr w14:val="tx1"/>
            </w14:solidFill>
          </w14:textFill>
        </w:rPr>
      </w:pPr>
      <w:r>
        <w:rPr>
          <w:rFonts w:hint="default" w:ascii="Times New Roman" w:hAnsi="Times New Roman" w:cs="Times New Roman" w:eastAsiaTheme="minorEastAsia"/>
          <w:color w:val="000000" w:themeColor="text1"/>
          <w:sz w:val="21"/>
          <w:szCs w:val="21"/>
          <w14:textFill>
            <w14:solidFill>
              <w14:schemeClr w14:val="tx1"/>
            </w14:solidFill>
          </w14:textFill>
        </w:rPr>
        <w:t>【教学内容】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1、概述：（1）抗生素类的标示量；（2）抗生素类微生物鉴定用标准品；</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 抗生素类药物的鉴别：（1）β-内酰胺类抗生素的鉴别；（2）氨基糖苷类抗生素的鉴别；（3）四环类抗生素的鉴别；（4）大环内酯类抗生素的鉴别；</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 抗生素类药物的杂质检查：（1）抗生素产品中的高分子杂质、降解产物及异构体的检查；（2）无机杂质的检查；（3）溶媒残留量的检查；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 抗生素效价微生物检定法：（1）微生物检定方法；（2）管碟法的原理；（3）影响抗生素效价测定结果的因素及控制；（4）抗生素效价管碟法测定操作技术</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5、 生物统计法在抗生素效价检定中的应用</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6、 抗生素类药物含量的物理化学测定法：（1）容量法；（2）光谱测定法；（3）色测定法谱；（4）HPLC测定法；</w:t>
      </w:r>
    </w:p>
    <w:p>
      <w:pPr>
        <w:adjustRightInd w:val="0"/>
        <w:snapToGrid w:val="0"/>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【教学过程】</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第一节</w:t>
      </w:r>
      <w:r>
        <w:rPr>
          <w:rFonts w:hint="default" w:ascii="Times New Roman" w:hAnsi="Times New Roman" w:cs="Times New Roman" w:eastAsiaTheme="minorEastAsia"/>
          <w:color w:val="000000" w:themeColor="text1"/>
          <w14:textFill>
            <w14:solidFill>
              <w14:schemeClr w14:val="tx1"/>
            </w14:solidFill>
          </w14:textFill>
        </w:rPr>
        <w:t>抗生素类药物的分析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复习上节学习内容：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请每个学习小组回答上节课的讨论问题（5分钟），教师评价记入登分册。</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相关教学幻灯片，展示生活中常见的抗生素相关现象，由此引出本节课讲授的具体内容：</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w:t>
      </w:r>
      <w:r>
        <w:rPr>
          <w:rFonts w:hint="default" w:ascii="Times New Roman" w:hAnsi="Times New Roman" w:cs="Times New Roman" w:eastAsiaTheme="minorEastAsia"/>
          <w:color w:val="000000" w:themeColor="text1"/>
          <w14:textFill>
            <w14:solidFill>
              <w14:schemeClr w14:val="tx1"/>
            </w14:solidFill>
          </w14:textFill>
        </w:rPr>
        <w:t>到此课程进行</w:t>
      </w:r>
      <w:r>
        <w:rPr>
          <w:rFonts w:hint="default" w:ascii="Times New Roman" w:hAnsi="Times New Roman" w:cs="Times New Roman" w:eastAsiaTheme="minorEastAsia"/>
          <w:bCs/>
          <w:color w:val="000000" w:themeColor="text1"/>
          <w14:textFill>
            <w14:solidFill>
              <w14:schemeClr w14:val="tx1"/>
            </w14:solidFill>
          </w14:textFill>
        </w:rPr>
        <w:t>20分钟）：</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抗生素定义：</w:t>
      </w:r>
    </w:p>
    <w:p>
      <w:pPr>
        <w:spacing w:line="400" w:lineRule="exact"/>
        <w:ind w:firstLine="420" w:firstLineChars="200"/>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是对各种病原微生物有强大的抑制或杀灭作用的药物。它们是细菌、放线菌和真菌等微生物的代谢产物</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抗生素来源：</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1. 生物合成（发酵）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2. 化学合成或半合成</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分类（按结构与性质）：</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 xml:space="preserve">    </w:t>
      </w:r>
      <w:r>
        <w:rPr>
          <w:rFonts w:hint="default" w:ascii="Times New Roman" w:hAnsi="Times New Roman" w:cs="Times New Roman" w:eastAsiaTheme="minorEastAsia"/>
          <w:bCs/>
          <w:color w:val="000000" w:themeColor="text1"/>
          <w14:textFill>
            <w14:solidFill>
              <w14:schemeClr w14:val="tx1"/>
            </w14:solidFill>
          </w14:textFill>
        </w:rPr>
        <w:t>β–内酰胺类、氨基糖苷类、</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    四环素类、大环内酯类、</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    氯霉素类、多肽类、抗肿瘤类</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    林可霉素类、其他抗生素类</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抗生素产品质量常规检定包括：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鉴别试验        异常毒性试验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无菌试验        热源试验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降压试验        酸碱度测定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水分测定        溶液澄明度测定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效价测定        其他检查</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抗生素的药效标示量</w:t>
      </w:r>
    </w:p>
    <w:p>
      <w:pPr>
        <w:spacing w:line="400" w:lineRule="exact"/>
        <w:ind w:firstLine="420" w:firstLineChars="200"/>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抗生素效价是以它的生物活性来衡量其活性标准，以效价的高低作为抗生素质量的相对标准。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可以用两种效价单位来表示：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稀释单位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重量单位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类似重量单位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重量折算单位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特定单位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半合成青霉素及头孢菌素类 </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抗生素微生物检定用标准品</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0768" behindDoc="0" locked="0" layoutInCell="1" allowOverlap="1">
            <wp:simplePos x="0" y="0"/>
            <wp:positionH relativeFrom="column">
              <wp:posOffset>2385060</wp:posOffset>
            </wp:positionH>
            <wp:positionV relativeFrom="paragraph">
              <wp:posOffset>125095</wp:posOffset>
            </wp:positionV>
            <wp:extent cx="2186940" cy="1200150"/>
            <wp:effectExtent l="0" t="0" r="3810" b="0"/>
            <wp:wrapNone/>
            <wp:docPr id="32"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9"/>
                    <pic:cNvPicPr>
                      <a:picLocks noChangeAspect="1"/>
                    </pic:cNvPicPr>
                  </pic:nvPicPr>
                  <pic:blipFill>
                    <a:blip r:embed="rId30"/>
                    <a:stretch>
                      <a:fillRect/>
                    </a:stretch>
                  </pic:blipFill>
                  <pic:spPr>
                    <a:xfrm>
                      <a:off x="0" y="0"/>
                      <a:ext cx="2186940" cy="1200150"/>
                    </a:xfrm>
                    <a:prstGeom prst="rect">
                      <a:avLst/>
                    </a:prstGeom>
                    <a:solidFill>
                      <a:srgbClr val="008000"/>
                    </a:solid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1792" behindDoc="0" locked="0" layoutInCell="1" allowOverlap="1">
            <wp:simplePos x="0" y="0"/>
            <wp:positionH relativeFrom="column">
              <wp:posOffset>-22860</wp:posOffset>
            </wp:positionH>
            <wp:positionV relativeFrom="paragraph">
              <wp:posOffset>125095</wp:posOffset>
            </wp:positionV>
            <wp:extent cx="2225040" cy="1223645"/>
            <wp:effectExtent l="0" t="0" r="3810" b="14605"/>
            <wp:wrapNone/>
            <wp:docPr id="33"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18"/>
                    <pic:cNvPicPr>
                      <a:picLocks noChangeAspect="1"/>
                    </pic:cNvPicPr>
                  </pic:nvPicPr>
                  <pic:blipFill>
                    <a:blip r:embed="rId31"/>
                    <a:stretch>
                      <a:fillRect/>
                    </a:stretch>
                  </pic:blipFill>
                  <pic:spPr>
                    <a:xfrm>
                      <a:off x="0" y="0"/>
                      <a:ext cx="2225040" cy="1223645"/>
                    </a:xfrm>
                    <a:prstGeom prst="rect">
                      <a:avLst/>
                    </a:prstGeom>
                    <a:solidFill>
                      <a:srgbClr val="008000"/>
                    </a:solid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ind w:firstLine="1160" w:firstLineChars="550"/>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青霉素类                           头孢菌素类</w:t>
      </w:r>
    </w:p>
    <w:p>
      <w:pPr>
        <w:spacing w:line="400" w:lineRule="exact"/>
        <w:ind w:firstLine="1155" w:firstLineChars="550"/>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2816" behindDoc="0" locked="0" layoutInCell="1" allowOverlap="1">
            <wp:simplePos x="0" y="0"/>
            <wp:positionH relativeFrom="column">
              <wp:posOffset>-22860</wp:posOffset>
            </wp:positionH>
            <wp:positionV relativeFrom="paragraph">
              <wp:posOffset>183515</wp:posOffset>
            </wp:positionV>
            <wp:extent cx="3002280" cy="1576705"/>
            <wp:effectExtent l="0" t="0" r="7620" b="4445"/>
            <wp:wrapNone/>
            <wp:docPr id="34" name="对象 20"/>
            <wp:cNvGraphicFramePr/>
            <a:graphic xmlns:a="http://schemas.openxmlformats.org/drawingml/2006/main">
              <a:graphicData uri="http://schemas.openxmlformats.org/drawingml/2006/picture">
                <pic:pic xmlns:pic="http://schemas.openxmlformats.org/drawingml/2006/picture">
                  <pic:nvPicPr>
                    <pic:cNvPr id="34" name="对象 20"/>
                    <pic:cNvPicPr/>
                  </pic:nvPicPr>
                  <pic:blipFill>
                    <a:blip r:embed="rId32"/>
                    <a:srcRect t="-3760" b="-221"/>
                    <a:stretch>
                      <a:fillRect/>
                    </a:stretch>
                  </pic:blipFill>
                  <pic:spPr>
                    <a:xfrm>
                      <a:off x="0" y="0"/>
                      <a:ext cx="3002280" cy="157670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3840" behindDoc="0" locked="0" layoutInCell="1" allowOverlap="1">
            <wp:simplePos x="0" y="0"/>
            <wp:positionH relativeFrom="column">
              <wp:posOffset>3345180</wp:posOffset>
            </wp:positionH>
            <wp:positionV relativeFrom="paragraph">
              <wp:posOffset>236220</wp:posOffset>
            </wp:positionV>
            <wp:extent cx="1539240" cy="1280795"/>
            <wp:effectExtent l="0" t="0" r="3810" b="14605"/>
            <wp:wrapNone/>
            <wp:docPr id="35" name="对象 22"/>
            <wp:cNvGraphicFramePr/>
            <a:graphic xmlns:a="http://schemas.openxmlformats.org/drawingml/2006/main">
              <a:graphicData uri="http://schemas.openxmlformats.org/drawingml/2006/picture">
                <pic:pic xmlns:pic="http://schemas.openxmlformats.org/drawingml/2006/picture">
                  <pic:nvPicPr>
                    <pic:cNvPr id="35" name="对象 22"/>
                    <pic:cNvPicPr/>
                  </pic:nvPicPr>
                  <pic:blipFill>
                    <a:blip r:embed="rId33"/>
                    <a:srcRect l="-1128" t="-3922" b="-116"/>
                    <a:stretch>
                      <a:fillRect/>
                    </a:stretch>
                  </pic:blipFill>
                  <pic:spPr>
                    <a:xfrm>
                      <a:off x="0" y="0"/>
                      <a:ext cx="1539240" cy="128079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4864" behindDoc="0" locked="0" layoutInCell="1" allowOverlap="1">
            <wp:simplePos x="0" y="0"/>
            <wp:positionH relativeFrom="column">
              <wp:posOffset>-22860</wp:posOffset>
            </wp:positionH>
            <wp:positionV relativeFrom="paragraph">
              <wp:posOffset>236220</wp:posOffset>
            </wp:positionV>
            <wp:extent cx="2705100" cy="1607820"/>
            <wp:effectExtent l="0" t="0" r="0" b="11430"/>
            <wp:wrapNone/>
            <wp:docPr id="36" name="对象 21"/>
            <wp:cNvGraphicFramePr/>
            <a:graphic xmlns:a="http://schemas.openxmlformats.org/drawingml/2006/main">
              <a:graphicData uri="http://schemas.openxmlformats.org/drawingml/2006/picture">
                <pic:pic xmlns:pic="http://schemas.openxmlformats.org/drawingml/2006/picture">
                  <pic:nvPicPr>
                    <pic:cNvPr id="36" name="对象 21"/>
                    <pic:cNvPicPr/>
                  </pic:nvPicPr>
                  <pic:blipFill>
                    <a:blip r:embed="rId34"/>
                    <a:srcRect t="-2199" b="-220"/>
                    <a:stretch>
                      <a:fillRect/>
                    </a:stretch>
                  </pic:blipFill>
                  <pic:spPr>
                    <a:xfrm>
                      <a:off x="0" y="0"/>
                      <a:ext cx="2705100" cy="160782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5888" behindDoc="0" locked="0" layoutInCell="1" allowOverlap="1">
            <wp:simplePos x="0" y="0"/>
            <wp:positionH relativeFrom="column">
              <wp:posOffset>7620</wp:posOffset>
            </wp:positionH>
            <wp:positionV relativeFrom="paragraph">
              <wp:posOffset>20320</wp:posOffset>
            </wp:positionV>
            <wp:extent cx="2484120" cy="1767840"/>
            <wp:effectExtent l="0" t="0" r="11430" b="3810"/>
            <wp:wrapNone/>
            <wp:docPr id="37" name="对象 23"/>
            <wp:cNvGraphicFramePr/>
            <a:graphic xmlns:a="http://schemas.openxmlformats.org/drawingml/2006/main">
              <a:graphicData uri="http://schemas.openxmlformats.org/drawingml/2006/picture">
                <pic:pic xmlns:pic="http://schemas.openxmlformats.org/drawingml/2006/picture">
                  <pic:nvPicPr>
                    <pic:cNvPr id="37" name="对象 23"/>
                    <pic:cNvPicPr/>
                  </pic:nvPicPr>
                  <pic:blipFill>
                    <a:blip r:embed="rId35"/>
                    <a:srcRect l="-3250" t="-3307" b="-183"/>
                    <a:stretch>
                      <a:fillRect/>
                    </a:stretch>
                  </pic:blipFill>
                  <pic:spPr>
                    <a:xfrm>
                      <a:off x="0" y="0"/>
                      <a:ext cx="2484120" cy="176784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6912" behindDoc="0" locked="0" layoutInCell="1" allowOverlap="1">
            <wp:simplePos x="0" y="0"/>
            <wp:positionH relativeFrom="column">
              <wp:posOffset>3002280</wp:posOffset>
            </wp:positionH>
            <wp:positionV relativeFrom="paragraph">
              <wp:posOffset>196215</wp:posOffset>
            </wp:positionV>
            <wp:extent cx="2468880" cy="1706245"/>
            <wp:effectExtent l="0" t="0" r="7620" b="8255"/>
            <wp:wrapNone/>
            <wp:docPr id="38" name="图片 24" descr="7-21（青霉素钠UV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24" descr="7-21（青霉素钠UV图）"/>
                    <pic:cNvPicPr>
                      <a:picLocks noChangeAspect="1"/>
                    </pic:cNvPicPr>
                  </pic:nvPicPr>
                  <pic:blipFill>
                    <a:blip r:embed="rId36"/>
                    <a:stretch>
                      <a:fillRect/>
                    </a:stretch>
                  </pic:blipFill>
                  <pic:spPr>
                    <a:xfrm>
                      <a:off x="0" y="0"/>
                      <a:ext cx="2468880" cy="170624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β-内酰胺类抗生素的鉴别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常用试剂：</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青霉素酶法试验</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红外吸收光谱</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紫外吸收光谱</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茚三酮反应</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色谱法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氨基糖苷类抗生物的鉴别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四环素类抗生素的鉴别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大环内酯抗生素的鉴别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多烯大环内酯抗生素的鉴别</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利福霉素抗生素的鉴别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多肽类抗生素的鉴别</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抗生素类药物杂质的鉴定：</w:t>
      </w:r>
    </w:p>
    <w:p>
      <w:pPr>
        <w:numPr>
          <w:ilvl w:val="0"/>
          <w:numId w:val="43"/>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高分子杂质、降解产物及异构体的检查</w:t>
      </w:r>
    </w:p>
    <w:p>
      <w:pPr>
        <w:numPr>
          <w:ilvl w:val="0"/>
          <w:numId w:val="43"/>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无机杂质的检查</w:t>
      </w:r>
    </w:p>
    <w:p>
      <w:pPr>
        <w:numPr>
          <w:ilvl w:val="0"/>
          <w:numId w:val="43"/>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溶媒残留量的检查</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抗生素效价微生物检定法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微生物检定方法：</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抗生素效价管碟法测定原理与计算</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影响抗生素效价管碟法测定结果的因素及其控制</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抗生素效价管碟法测定的操作技术</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生物统计法在抗生素效价检定中的应用</w:t>
      </w:r>
    </w:p>
    <w:p>
      <w:pPr>
        <w:numPr>
          <w:ilvl w:val="0"/>
          <w:numId w:val="44"/>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生物统计法在抗生素效价检定中的应用</w:t>
      </w:r>
    </w:p>
    <w:p>
      <w:pPr>
        <w:numPr>
          <w:ilvl w:val="0"/>
          <w:numId w:val="44"/>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基本概念</w:t>
      </w:r>
    </w:p>
    <w:p>
      <w:pPr>
        <w:numPr>
          <w:ilvl w:val="0"/>
          <w:numId w:val="44"/>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抗生素效价测定生物统计计算步骤：</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抗生素类药物含量的物理化学测定方法</w:t>
      </w:r>
    </w:p>
    <w:p>
      <w:pPr>
        <w:numPr>
          <w:ilvl w:val="0"/>
          <w:numId w:val="45"/>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容量法</w:t>
      </w:r>
    </w:p>
    <w:p>
      <w:pPr>
        <w:numPr>
          <w:ilvl w:val="0"/>
          <w:numId w:val="45"/>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光谱学测定法</w:t>
      </w:r>
    </w:p>
    <w:p>
      <w:pPr>
        <w:numPr>
          <w:ilvl w:val="0"/>
          <w:numId w:val="45"/>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色谱法测定</w:t>
      </w:r>
    </w:p>
    <w:p>
      <w:pPr>
        <w:numPr>
          <w:ilvl w:val="0"/>
          <w:numId w:val="45"/>
        </w:num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高效液相法测定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（90分钟）</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1.简述抗生素类药物。</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2.预习下一节讲述内容。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白秀峰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tbl>
      <w:tblPr>
        <w:tblStyle w:val="13"/>
        <w:tblpPr w:leftFromText="180" w:rightFromText="180" w:vertAnchor="text" w:horzAnchor="margin" w:tblpY="157"/>
        <w:tblW w:w="89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2339"/>
        <w:gridCol w:w="1665"/>
        <w:gridCol w:w="1260"/>
        <w:gridCol w:w="1231"/>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004"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七</w:t>
            </w:r>
            <w:r>
              <w:rPr>
                <w:rFonts w:hint="default" w:ascii="Times New Roman" w:hAnsi="Times New Roman" w:cs="Times New Roman" w:eastAsiaTheme="minorEastAsia"/>
                <w:color w:val="000000" w:themeColor="text1"/>
                <w:sz w:val="24"/>
                <w:szCs w:val="32"/>
                <w14:textFill>
                  <w14:solidFill>
                    <w14:schemeClr w14:val="tx1"/>
                  </w14:solidFill>
                </w14:textFill>
              </w:rPr>
              <w:t>章 维生素及辅酶类药物的分析</w:t>
            </w:r>
          </w:p>
        </w:tc>
        <w:tc>
          <w:tcPr>
            <w:tcW w:w="12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535"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17、19</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33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66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26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3</w:t>
            </w:r>
          </w:p>
        </w:tc>
        <w:tc>
          <w:tcPr>
            <w:tcW w:w="1231"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304"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tbl>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【教学目标】</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概述</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了解维生素及辅酶的分类与作用</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维生素类药物分析</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1、熟悉维生素C的鉴别试验</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2、了解维生素C的杂质检查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3、掌握维生素C的含量测定</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辅酶类药物分析</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了解辅酶A、Q10的鉴别和含量测定方法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【重点与难点】</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1维生素类药物的分析</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2辅酶类药物的分析</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【教学内容】</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1）概述</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2）维生素类药物的分析</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3）辅酶类药物的分析；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复习上节学习内容：</w:t>
      </w:r>
    </w:p>
    <w:p>
      <w:pPr>
        <w:spacing w:line="400" w:lineRule="exact"/>
        <w:ind w:firstLine="525" w:firstLineChars="2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请每个学习小组回答上节课的讨论问题，教师评价记入登分册。</w:t>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相关教学幻灯片，展示生活中常见的脂类物质，由此引出本节课讲授的具体内容：</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1）概述</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2）维生素类药物的分析</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3）辅酶类药物的分析；</w:t>
      </w:r>
    </w:p>
    <w:p>
      <w:pPr>
        <w:numPr>
          <w:ilvl w:val="0"/>
          <w:numId w:val="46"/>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维生素的基本慨念 </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生物体内一类量微，化学结构各异，有特殊功能的小分子有机化合物</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天然食物的一种成分,不能供应能量,为一种活性物质，不是组织细胞的结构成分，对机体代谢起调节作用</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维生素需求量很少，以mg计算。</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大多数维生素在体内不能合成,需从外界摄取</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通过辅酶或辅基形式参与体内酶促反应体系</w:t>
      </w:r>
    </w:p>
    <w:p>
      <w:pPr>
        <w:numPr>
          <w:ilvl w:val="0"/>
          <w:numId w:val="47"/>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人体内维生素缺乏时,会发生一类特殊的疾病,称维生素缺乏症 </w:t>
      </w:r>
    </w:p>
    <w:p>
      <w:pPr>
        <w:numPr>
          <w:ilvl w:val="0"/>
          <w:numId w:val="48"/>
        </w:numPr>
        <w:tabs>
          <w:tab w:val="left" w:pos="0"/>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7936" behindDoc="0" locked="0" layoutInCell="1" allowOverlap="1">
            <wp:simplePos x="0" y="0"/>
            <wp:positionH relativeFrom="column">
              <wp:posOffset>3049905</wp:posOffset>
            </wp:positionH>
            <wp:positionV relativeFrom="paragraph">
              <wp:posOffset>-142240</wp:posOffset>
            </wp:positionV>
            <wp:extent cx="1562100" cy="1691640"/>
            <wp:effectExtent l="0" t="0" r="0" b="3810"/>
            <wp:wrapNone/>
            <wp:docPr id="39" name="对象 29"/>
            <wp:cNvGraphicFramePr/>
            <a:graphic xmlns:a="http://schemas.openxmlformats.org/drawingml/2006/main">
              <a:graphicData uri="http://schemas.openxmlformats.org/drawingml/2006/picture">
                <pic:pic xmlns:pic="http://schemas.openxmlformats.org/drawingml/2006/picture">
                  <pic:nvPicPr>
                    <pic:cNvPr id="39" name="对象 29"/>
                    <pic:cNvPicPr/>
                  </pic:nvPicPr>
                  <pic:blipFill>
                    <a:blip r:embed="rId37"/>
                    <a:srcRect l="-2005" r="-3387" b="-2988"/>
                    <a:stretch>
                      <a:fillRect/>
                    </a:stretch>
                  </pic:blipFill>
                  <pic:spPr>
                    <a:xfrm>
                      <a:off x="0" y="0"/>
                      <a:ext cx="1562100" cy="169164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t>维生素与辅酶辅基的关系</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p>
    <w:p>
      <w:pPr>
        <w:numPr>
          <w:ilvl w:val="0"/>
          <w:numId w:val="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维生素C，又名抗坏血酸</w:t>
      </w:r>
    </w:p>
    <w:p>
      <w:pPr>
        <w:numPr>
          <w:ilvl w:val="0"/>
          <w:numId w:val="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组成与性质:为白色粉末,无臭,味酸,易溶于水,不溶于乙醚,具右旋光性</w:t>
      </w:r>
    </w:p>
    <w:p>
      <w:pPr>
        <w:numPr>
          <w:ilvl w:val="0"/>
          <w:numId w:val="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生产工艺（两步发酵法）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A: D-G →D-山犁醇→ D-山犁糖→双丙酮-L-山犁糖→双丙酮-L-古洛糖酸→2-酮-L-古洛糖酸→Vc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B: D-山犁醇→L-山犁醇→2-酮-L-古洛糖酸→Vc</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8960" behindDoc="0" locked="0" layoutInCell="1" allowOverlap="1">
            <wp:simplePos x="0" y="0"/>
            <wp:positionH relativeFrom="column">
              <wp:posOffset>2476500</wp:posOffset>
            </wp:positionH>
            <wp:positionV relativeFrom="paragraph">
              <wp:posOffset>116840</wp:posOffset>
            </wp:positionV>
            <wp:extent cx="2171065" cy="1353820"/>
            <wp:effectExtent l="0" t="0" r="635" b="17780"/>
            <wp:wrapNone/>
            <wp:docPr id="40" name="对象 31"/>
            <wp:cNvGraphicFramePr/>
            <a:graphic xmlns:a="http://schemas.openxmlformats.org/drawingml/2006/main">
              <a:graphicData uri="http://schemas.openxmlformats.org/drawingml/2006/picture">
                <pic:pic xmlns:pic="http://schemas.openxmlformats.org/drawingml/2006/picture">
                  <pic:nvPicPr>
                    <pic:cNvPr id="40" name="对象 31"/>
                    <pic:cNvPicPr/>
                  </pic:nvPicPr>
                  <pic:blipFill>
                    <a:blip r:embed="rId38"/>
                    <a:srcRect l="-7118" t="-2892" r="-3558" b="-2411"/>
                    <a:stretch>
                      <a:fillRect/>
                    </a:stretch>
                  </pic:blipFill>
                  <pic:spPr>
                    <a:xfrm>
                      <a:off x="0" y="0"/>
                      <a:ext cx="2171065" cy="1353820"/>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89984" behindDoc="0" locked="0" layoutInCell="1" allowOverlap="1">
            <wp:simplePos x="0" y="0"/>
            <wp:positionH relativeFrom="column">
              <wp:posOffset>-20955</wp:posOffset>
            </wp:positionH>
            <wp:positionV relativeFrom="paragraph">
              <wp:posOffset>63500</wp:posOffset>
            </wp:positionV>
            <wp:extent cx="1986915" cy="1353820"/>
            <wp:effectExtent l="0" t="0" r="0" b="17780"/>
            <wp:wrapNone/>
            <wp:docPr id="41" name="对象 30"/>
            <wp:cNvGraphicFramePr/>
            <a:graphic xmlns:a="http://schemas.openxmlformats.org/drawingml/2006/main">
              <a:graphicData uri="http://schemas.openxmlformats.org/drawingml/2006/picture">
                <pic:pic xmlns:pic="http://schemas.openxmlformats.org/drawingml/2006/picture">
                  <pic:nvPicPr>
                    <pic:cNvPr id="41" name="对象 30"/>
                    <pic:cNvPicPr/>
                  </pic:nvPicPr>
                  <pic:blipFill>
                    <a:blip r:embed="rId39"/>
                    <a:srcRect l="-6943" t="-4738" r="-6793" b="-175"/>
                    <a:stretch>
                      <a:fillRect/>
                    </a:stretch>
                  </pic:blipFill>
                  <pic:spPr>
                    <a:xfrm>
                      <a:off x="0" y="0"/>
                      <a:ext cx="1986915" cy="135382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1008" behindDoc="0" locked="0" layoutInCell="1" allowOverlap="1">
            <wp:simplePos x="0" y="0"/>
            <wp:positionH relativeFrom="column">
              <wp:posOffset>22860</wp:posOffset>
            </wp:positionH>
            <wp:positionV relativeFrom="paragraph">
              <wp:posOffset>20320</wp:posOffset>
            </wp:positionV>
            <wp:extent cx="2171065" cy="1132840"/>
            <wp:effectExtent l="0" t="0" r="635" b="10795"/>
            <wp:wrapNone/>
            <wp:docPr id="42" name="对象 33"/>
            <wp:cNvGraphicFramePr/>
            <a:graphic xmlns:a="http://schemas.openxmlformats.org/drawingml/2006/main">
              <a:graphicData uri="http://schemas.openxmlformats.org/drawingml/2006/picture">
                <pic:pic xmlns:pic="http://schemas.openxmlformats.org/drawingml/2006/picture">
                  <pic:nvPicPr>
                    <pic:cNvPr id="42" name="对象 33"/>
                    <pic:cNvPicPr/>
                  </pic:nvPicPr>
                  <pic:blipFill>
                    <a:blip r:embed="rId40"/>
                    <a:srcRect l="-3510" t="-6059" r="-1376" b="-2321"/>
                    <a:stretch>
                      <a:fillRect/>
                    </a:stretch>
                  </pic:blipFill>
                  <pic:spPr>
                    <a:xfrm>
                      <a:off x="0" y="0"/>
                      <a:ext cx="2171065" cy="113284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ind w:left="4" w:leftChars="1" w:hanging="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鉴别实验</w:t>
      </w:r>
    </w:p>
    <w:p>
      <w:pPr>
        <w:spacing w:line="400" w:lineRule="exact"/>
        <w:ind w:left="4" w:leftChars="1" w:hanging="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杂质检测试验</w:t>
      </w:r>
    </w:p>
    <w:p>
      <w:pPr>
        <w:spacing w:line="400" w:lineRule="exact"/>
        <w:ind w:left="4" w:leftChars="1" w:hanging="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spacing w:line="400" w:lineRule="exact"/>
        <w:ind w:left="4" w:leftChars="1" w:hanging="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维生素B2，VB12、</w:t>
      </w:r>
    </w:p>
    <w:p>
      <w:pPr>
        <w:spacing w:line="400" w:lineRule="exact"/>
        <w:ind w:left="4" w:leftChars="1" w:hanging="2"/>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辅酶类药物：</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1、辅酶A</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杂质检测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效价测定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2、辅酶Q10</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杂质检测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效价测定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（90分钟）</w:t>
      </w:r>
    </w:p>
    <w:p>
      <w:pPr>
        <w:spacing w:line="400" w:lineRule="exact"/>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作业1.简述维生素类药物</w:t>
      </w:r>
    </w:p>
    <w:p>
      <w:pPr>
        <w:spacing w:line="400" w:lineRule="exact"/>
        <w:ind w:firstLine="420" w:firstLineChars="200"/>
        <w:rPr>
          <w:rFonts w:hint="default" w:ascii="Times New Roman" w:hAnsi="Times New Roman" w:cs="Times New Roman" w:eastAsiaTheme="minorEastAsia"/>
          <w:bCs/>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 xml:space="preserve"> 2.预习下一节讲述内容。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left="1155" w:leftChars="350" w:hanging="420" w:hangingChars="200"/>
        <w:rPr>
          <w:rFonts w:hint="default" w:ascii="Times New Roman" w:hAnsi="Times New Roman" w:cs="Times New Roman" w:eastAsiaTheme="minorEastAsia"/>
          <w:color w:val="000000" w:themeColor="text1"/>
          <w14:textFill>
            <w14:solidFill>
              <w14:schemeClr w14:val="tx1"/>
            </w14:solidFill>
          </w14:textFill>
        </w:rPr>
      </w:pPr>
    </w:p>
    <w:tbl>
      <w:tblPr>
        <w:tblStyle w:val="13"/>
        <w:tblpPr w:leftFromText="180" w:rightFromText="180" w:vertAnchor="text" w:horzAnchor="margin" w:tblpY="157"/>
        <w:tblW w:w="8948"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149"/>
        <w:gridCol w:w="2339"/>
        <w:gridCol w:w="1665"/>
        <w:gridCol w:w="1260"/>
        <w:gridCol w:w="1231"/>
        <w:gridCol w:w="1304"/>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bookmarkStart w:id="10" w:name="OLE_LINK11"/>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004"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八</w:t>
            </w:r>
            <w:r>
              <w:rPr>
                <w:rFonts w:hint="default" w:ascii="Times New Roman" w:hAnsi="Times New Roman" w:cs="Times New Roman" w:eastAsiaTheme="minorEastAsia"/>
                <w:color w:val="000000" w:themeColor="text1"/>
                <w:sz w:val="24"/>
                <w:szCs w:val="32"/>
                <w14:textFill>
                  <w14:solidFill>
                    <w14:schemeClr w14:val="tx1"/>
                  </w14:solidFill>
                </w14:textFill>
              </w:rPr>
              <w:t>章 核酸与核苷酸类药物的分析</w:t>
            </w:r>
          </w:p>
        </w:tc>
        <w:tc>
          <w:tcPr>
            <w:tcW w:w="12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535"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19、24</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14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33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66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26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2</w:t>
            </w:r>
          </w:p>
        </w:tc>
        <w:tc>
          <w:tcPr>
            <w:tcW w:w="1231"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304"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bookmarkEnd w:id="10"/>
    </w:tbl>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【教学目标】</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概述</w:t>
      </w:r>
    </w:p>
    <w:p>
      <w:pPr>
        <w:spacing w:line="360" w:lineRule="exact"/>
        <w:ind w:firstLine="315" w:firstLineChars="1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了解核苷酸的结构、分类、化学性质</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嘌呤类核苷酸类药物分析</w:t>
      </w:r>
    </w:p>
    <w:p>
      <w:pPr>
        <w:spacing w:line="360" w:lineRule="exact"/>
        <w:ind w:firstLine="315" w:firstLineChars="1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掌握嘌呤类核苷酸类药物的鉴别方法，熟悉其含量测定方法，了解其杂质检查。</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嘧啶类核苷酸类药物分析</w:t>
      </w:r>
    </w:p>
    <w:p>
      <w:pPr>
        <w:spacing w:line="360" w:lineRule="exact"/>
        <w:ind w:firstLine="315" w:firstLineChars="1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了解嘌呤类核苷酸类药物的鉴别方法，熟悉其含量测定方法，了解其杂质检查</w:t>
      </w:r>
    </w:p>
    <w:p>
      <w:pPr>
        <w:spacing w:line="400" w:lineRule="exact"/>
        <w:outlineLvl w:val="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【重点与难点】</w:t>
      </w:r>
    </w:p>
    <w:p>
      <w:pPr>
        <w:pStyle w:val="5"/>
        <w:widowControl/>
        <w:spacing w:line="400" w:lineRule="exact"/>
        <w:rPr>
          <w:rFonts w:hint="default" w:ascii="Times New Roman" w:hAnsi="Times New Roman" w:cs="Times New Roman" w:eastAsiaTheme="minorEastAsia"/>
          <w:b w:val="0"/>
          <w:color w:val="000000" w:themeColor="text1"/>
          <w:sz w:val="21"/>
          <w:szCs w:val="21"/>
          <w14:textFill>
            <w14:solidFill>
              <w14:schemeClr w14:val="tx1"/>
            </w14:solidFill>
          </w14:textFill>
        </w:rPr>
      </w:pPr>
      <w:r>
        <w:rPr>
          <w:rFonts w:hint="default" w:ascii="Times New Roman" w:hAnsi="Times New Roman" w:cs="Times New Roman" w:eastAsiaTheme="minorEastAsia"/>
          <w:b w:val="0"/>
          <w:color w:val="000000" w:themeColor="text1"/>
          <w:sz w:val="21"/>
          <w:szCs w:val="21"/>
          <w14:textFill>
            <w14:solidFill>
              <w14:schemeClr w14:val="tx1"/>
            </w14:solidFill>
          </w14:textFill>
        </w:rPr>
        <w:t>1. 嘌呤类核苷酸药物分析</w:t>
      </w:r>
    </w:p>
    <w:p>
      <w:pPr>
        <w:pStyle w:val="5"/>
        <w:widowControl/>
        <w:spacing w:line="400" w:lineRule="exact"/>
        <w:rPr>
          <w:rFonts w:hint="default" w:ascii="Times New Roman" w:hAnsi="Times New Roman" w:cs="Times New Roman" w:eastAsiaTheme="minorEastAsia"/>
          <w:b w:val="0"/>
          <w:color w:val="000000" w:themeColor="text1"/>
          <w:sz w:val="21"/>
          <w:szCs w:val="21"/>
          <w14:textFill>
            <w14:solidFill>
              <w14:schemeClr w14:val="tx1"/>
            </w14:solidFill>
          </w14:textFill>
        </w:rPr>
      </w:pPr>
      <w:r>
        <w:rPr>
          <w:rFonts w:hint="default" w:ascii="Times New Roman" w:hAnsi="Times New Roman" w:cs="Times New Roman" w:eastAsiaTheme="minorEastAsia"/>
          <w:b w:val="0"/>
          <w:color w:val="000000" w:themeColor="text1"/>
          <w:sz w:val="21"/>
          <w:szCs w:val="21"/>
          <w14:textFill>
            <w14:solidFill>
              <w14:schemeClr w14:val="tx1"/>
            </w14:solidFill>
          </w14:textFill>
        </w:rPr>
        <w:t>2. 嘧啶类核苷酸药物分析核苷酸合成代谢过程中的一些抗代谢物，以及它们的作用机理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1）概述</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2）嘌呤类核苷酸药物分析</w:t>
      </w:r>
    </w:p>
    <w:p>
      <w:pPr>
        <w:adjustRightInd w:val="0"/>
        <w:snapToGrid w:val="0"/>
        <w:spacing w:line="360" w:lineRule="auto"/>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3）嘧啶类核苷酸药物分析；</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第一节</w:t>
      </w:r>
      <w:r>
        <w:rPr>
          <w:rFonts w:hint="default" w:ascii="Times New Roman" w:hAnsi="Times New Roman" w:cs="Times New Roman" w:eastAsiaTheme="minorEastAsia"/>
          <w:color w:val="000000" w:themeColor="text1"/>
          <w14:textFill>
            <w14:solidFill>
              <w14:schemeClr w14:val="tx1"/>
            </w14:solidFill>
          </w14:textFill>
        </w:rPr>
        <w:t>核苷酸类药物分析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相关教学幻灯片，展示生活中常见的核酸化合物，由此引出本节课讲授的具体内容：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概述：</w:t>
      </w:r>
    </w:p>
    <w:p>
      <w:pPr>
        <w:numPr>
          <w:ilvl w:val="0"/>
          <w:numId w:val="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核酸的结构与分类简介</w:t>
      </w:r>
    </w:p>
    <w:p>
      <w:pPr>
        <w:numPr>
          <w:ilvl w:val="0"/>
          <w:numId w:val="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核酸的化学性质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嘌呤类核苷酸药物分析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戊糖的鉴别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苔黑酚反应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二苯胺反应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与间苯三酚反应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嘌呤的鉴别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磷酸的鉴别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特征吸收光谱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熔点鉴别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w:t>
      </w:r>
    </w:p>
    <w:p>
      <w:pPr>
        <w:numPr>
          <w:ilvl w:val="0"/>
          <w:numId w:val="5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一般检查</w:t>
      </w:r>
    </w:p>
    <w:p>
      <w:pPr>
        <w:numPr>
          <w:ilvl w:val="0"/>
          <w:numId w:val="5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蛋白质检查</w:t>
      </w:r>
    </w:p>
    <w:p>
      <w:pPr>
        <w:numPr>
          <w:ilvl w:val="0"/>
          <w:numId w:val="5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有关物质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实例分析：</w:t>
      </w:r>
    </w:p>
    <w:p>
      <w:pPr>
        <w:numPr>
          <w:ilvl w:val="0"/>
          <w:numId w:val="5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肌苷的质量分析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结构</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性状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numPr>
          <w:ilvl w:val="0"/>
          <w:numId w:val="5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三磷酸腺苷二钠的质量分析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结构</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性状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嘧啶类核苷酸药物分析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鉴别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紫外分光光度法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电位滴定法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实例分析：</w:t>
      </w:r>
    </w:p>
    <w:p>
      <w:pPr>
        <w:numPr>
          <w:ilvl w:val="0"/>
          <w:numId w:val="5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氟尿嘧啶的质量分析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结构</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性状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spacing w:line="400" w:lineRule="exact"/>
        <w:ind w:firstLine="435"/>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firstLine="435"/>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ind w:firstLine="435"/>
        <w:rPr>
          <w:rFonts w:hint="default" w:ascii="Times New Roman" w:hAnsi="Times New Roman" w:cs="Times New Roman" w:eastAsiaTheme="minorEastAsia"/>
          <w:color w:val="000000" w:themeColor="text1"/>
          <w14:textFill>
            <w14:solidFill>
              <w14:schemeClr w14:val="tx1"/>
            </w14:solidFill>
          </w14:textFill>
        </w:rPr>
      </w:pPr>
    </w:p>
    <w:tbl>
      <w:tblPr>
        <w:tblStyle w:val="13"/>
        <w:tblpPr w:leftFromText="180" w:rightFromText="180" w:vertAnchor="text" w:horzAnchor="margin" w:tblpX="-86" w:tblpY="157"/>
        <w:tblW w:w="9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2060"/>
        <w:gridCol w:w="1150"/>
        <w:gridCol w:w="1130"/>
        <w:gridCol w:w="1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54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九</w:t>
            </w:r>
            <w:r>
              <w:rPr>
                <w:rFonts w:hint="default" w:ascii="Times New Roman" w:hAnsi="Times New Roman" w:cs="Times New Roman" w:eastAsiaTheme="minorEastAsia"/>
                <w:color w:val="000000" w:themeColor="text1"/>
                <w:sz w:val="24"/>
                <w:szCs w:val="32"/>
                <w14:textFill>
                  <w14:solidFill>
                    <w14:schemeClr w14:val="tx1"/>
                  </w14:solidFill>
                </w14:textFill>
              </w:rPr>
              <w:t>章 氨基酸、多肽与蛋白质药物的分析</w:t>
            </w:r>
          </w:p>
        </w:tc>
        <w:tc>
          <w:tcPr>
            <w:tcW w:w="115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25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24、26</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20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5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3</w:t>
            </w:r>
          </w:p>
        </w:tc>
        <w:tc>
          <w:tcPr>
            <w:tcW w:w="113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120"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tbl>
    <w:p>
      <w:pPr>
        <w:spacing w:line="400" w:lineRule="exact"/>
        <w:ind w:firstLine="435"/>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【教学目标】</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概述</w:t>
      </w:r>
    </w:p>
    <w:p>
      <w:pPr>
        <w:numPr>
          <w:ilvl w:val="1"/>
          <w:numId w:val="54"/>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了解氨基酸的结构与分类、生产制备方法</w:t>
      </w:r>
    </w:p>
    <w:p>
      <w:pPr>
        <w:numPr>
          <w:ilvl w:val="1"/>
          <w:numId w:val="54"/>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熟悉氨基酸的重要理化性质</w:t>
      </w:r>
    </w:p>
    <w:p>
      <w:pPr>
        <w:numPr>
          <w:ilvl w:val="1"/>
          <w:numId w:val="54"/>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熟悉蛋白质的重要理化性质</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鉴别与检查</w:t>
      </w:r>
    </w:p>
    <w:p>
      <w:pPr>
        <w:spacing w:line="360" w:lineRule="exact"/>
        <w:ind w:left="420" w:leftChars="200" w:firstLine="105" w:firstLineChars="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熟悉氨基酸与蛋白质药物的鉴别方法，了解其杂质检查。</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氨基酸的含量分析</w:t>
      </w:r>
    </w:p>
    <w:p>
      <w:pPr>
        <w:numPr>
          <w:ilvl w:val="1"/>
          <w:numId w:val="55"/>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掌握茚三酮法和非水滴定法的原理</w:t>
      </w:r>
    </w:p>
    <w:p>
      <w:pPr>
        <w:numPr>
          <w:ilvl w:val="1"/>
          <w:numId w:val="55"/>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了解甲醛滴定法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蛋白质药物的含量测定</w:t>
      </w:r>
    </w:p>
    <w:p>
      <w:pPr>
        <w:numPr>
          <w:ilvl w:val="1"/>
          <w:numId w:val="56"/>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了解蛋白质药物的含量测定方法</w:t>
      </w:r>
    </w:p>
    <w:p>
      <w:pPr>
        <w:numPr>
          <w:ilvl w:val="1"/>
          <w:numId w:val="56"/>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熟悉凯氏定氮法、福林酚法的原理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氨基酸和蛋白质的质量分析</w:t>
      </w:r>
    </w:p>
    <w:p>
      <w:pPr>
        <w:numPr>
          <w:ilvl w:val="1"/>
          <w:numId w:val="57"/>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了解甘氨酸等质量分析</w:t>
      </w:r>
    </w:p>
    <w:p>
      <w:pPr>
        <w:numPr>
          <w:ilvl w:val="1"/>
          <w:numId w:val="57"/>
        </w:num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了解胰岛素鉴别和检验，熟悉其效价测定方法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【重点与难点】</w:t>
      </w:r>
    </w:p>
    <w:p>
      <w:pPr>
        <w:numPr>
          <w:ilvl w:val="0"/>
          <w:numId w:val="58"/>
        </w:num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氨基酸与蛋白质类药物的鉴别与检查</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1、概述：（1）氨基酸的结构与分类；（2）氨基酸的重要的物理化学性质；（3）蛋白质化学组成与分子量；（4）蛋白质物理化学性质；</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2、鉴别与检查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3、氨基酸的含量分析：（1）茚三酮反应法；（2）甲醛滴定法；（3）非水滴定法；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4、蛋白质药物的含量测定：（1）凯氏定氮法；（2）双缩尿法；（3）福林酚试剂法； （4）紫外吸收法（5）考马斯亮蓝染色法；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5、氨基酸和蛋白质的质量分析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展示相关ppt文件，</w:t>
      </w:r>
      <w:r>
        <w:rPr>
          <w:rFonts w:hint="default" w:ascii="Times New Roman" w:hAnsi="Times New Roman" w:cs="Times New Roman" w:eastAsiaTheme="minorEastAsia"/>
          <w:color w:val="000000" w:themeColor="text1"/>
          <w14:textFill>
            <w14:solidFill>
              <w14:schemeClr w14:val="tx1"/>
            </w14:solidFill>
          </w14:textFill>
        </w:rPr>
        <w:t>由此引出本节课讲授的主要内容：</w:t>
      </w:r>
    </w:p>
    <w:p>
      <w:pPr>
        <w:numPr>
          <w:ilvl w:val="0"/>
          <w:numId w:val="59"/>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概  述</w:t>
      </w:r>
    </w:p>
    <w:p>
      <w:pPr>
        <w:numPr>
          <w:ilvl w:val="0"/>
          <w:numId w:val="60"/>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氨基酸的重要理化性质 </w:t>
      </w:r>
    </w:p>
    <w:p>
      <w:pPr>
        <w:numPr>
          <w:ilvl w:val="0"/>
          <w:numId w:val="61"/>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氨基酸的旋光性和光吸收 </w:t>
      </w:r>
    </w:p>
    <w:p>
      <w:pPr>
        <w:numPr>
          <w:ilvl w:val="0"/>
          <w:numId w:val="61"/>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氨基酸的酸碱性质 </w:t>
      </w:r>
    </w:p>
    <w:p>
      <w:pPr>
        <w:numPr>
          <w:ilvl w:val="0"/>
          <w:numId w:val="61"/>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2032" behindDoc="0" locked="0" layoutInCell="1" allowOverlap="1">
            <wp:simplePos x="0" y="0"/>
            <wp:positionH relativeFrom="column">
              <wp:posOffset>2022475</wp:posOffset>
            </wp:positionH>
            <wp:positionV relativeFrom="paragraph">
              <wp:posOffset>151130</wp:posOffset>
            </wp:positionV>
            <wp:extent cx="2381885" cy="1429385"/>
            <wp:effectExtent l="0" t="0" r="18415" b="18415"/>
            <wp:wrapNone/>
            <wp:docPr id="43" name="图片 162" descr="Fig 05-03a.GIF006                                              000035DESumanas' Hard Drive            B4EBCDA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62" descr="Fig 05-03a.GIF006                                              000035DESumanas' Hard Drive            B4EBCDA7:"/>
                    <pic:cNvPicPr>
                      <a:picLocks noChangeAspect="1"/>
                    </pic:cNvPicPr>
                  </pic:nvPicPr>
                  <pic:blipFill>
                    <a:blip r:embed="rId41"/>
                    <a:stretch>
                      <a:fillRect/>
                    </a:stretch>
                  </pic:blipFill>
                  <pic:spPr>
                    <a:xfrm>
                      <a:off x="0" y="0"/>
                      <a:ext cx="2381885" cy="142938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3056" behindDoc="0" locked="0" layoutInCell="1" allowOverlap="1">
            <wp:simplePos x="0" y="0"/>
            <wp:positionH relativeFrom="column">
              <wp:posOffset>-137160</wp:posOffset>
            </wp:positionH>
            <wp:positionV relativeFrom="paragraph">
              <wp:posOffset>151130</wp:posOffset>
            </wp:positionV>
            <wp:extent cx="1287145" cy="1704975"/>
            <wp:effectExtent l="0" t="0" r="8255" b="9525"/>
            <wp:wrapNone/>
            <wp:docPr id="44" name="图片 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161"/>
                    <pic:cNvPicPr>
                      <a:picLocks noChangeAspect="1"/>
                    </pic:cNvPicPr>
                  </pic:nvPicPr>
                  <pic:blipFill>
                    <a:blip r:embed="rId42"/>
                    <a:stretch>
                      <a:fillRect/>
                    </a:stretch>
                  </pic:blipFill>
                  <pic:spPr>
                    <a:xfrm>
                      <a:off x="0" y="0"/>
                      <a:ext cx="1287145" cy="170497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62"/>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drawing>
          <wp:anchor distT="0" distB="0" distL="114300" distR="114300" simplePos="0" relativeHeight="251694080" behindDoc="0" locked="0" layoutInCell="1" allowOverlap="1">
            <wp:simplePos x="0" y="0"/>
            <wp:positionH relativeFrom="column">
              <wp:posOffset>2286000</wp:posOffset>
            </wp:positionH>
            <wp:positionV relativeFrom="paragraph">
              <wp:posOffset>37465</wp:posOffset>
            </wp:positionV>
            <wp:extent cx="1709420" cy="1156335"/>
            <wp:effectExtent l="0" t="0" r="5080" b="5715"/>
            <wp:wrapNone/>
            <wp:docPr id="45" name="图片 164" descr="QQ截图2013092120152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164" descr="QQ截图20130921201526.png"/>
                    <pic:cNvPicPr>
                      <a:picLocks noChangeAspect="1"/>
                    </pic:cNvPicPr>
                  </pic:nvPicPr>
                  <pic:blipFill>
                    <a:blip r:embed="rId43"/>
                    <a:stretch>
                      <a:fillRect/>
                    </a:stretch>
                  </pic:blipFill>
                  <pic:spPr>
                    <a:xfrm>
                      <a:off x="0" y="0"/>
                      <a:ext cx="1709420" cy="1156335"/>
                    </a:xfrm>
                    <a:prstGeom prst="rect">
                      <a:avLst/>
                    </a:prstGeom>
                    <a:noFill/>
                    <a:ln w="9525">
                      <a:noFill/>
                    </a:ln>
                  </pic:spPr>
                </pic:pic>
              </a:graphicData>
            </a:graphic>
          </wp:anchor>
        </w:drawing>
      </w: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氨基酸的重要理化性质 </w:t>
      </w:r>
    </w:p>
    <w:p>
      <w:pPr>
        <w:numPr>
          <w:ilvl w:val="0"/>
          <w:numId w:val="63"/>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氨基酸与亚硝酸反应 </w:t>
      </w:r>
    </w:p>
    <w:p>
      <w:pPr>
        <w:numPr>
          <w:ilvl w:val="0"/>
          <w:numId w:val="64"/>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氨基酸的重要理化性质 </w:t>
      </w:r>
    </w:p>
    <w:p>
      <w:pPr>
        <w:numPr>
          <w:ilvl w:val="0"/>
          <w:numId w:val="65"/>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氨基酸与酰基化试剂反应 </w:t>
      </w:r>
    </w:p>
    <w:p>
      <w:pPr>
        <w:spacing w:line="400" w:lineRule="exact"/>
        <w:rPr>
          <w:rFonts w:hint="default" w:ascii="Times New Roman" w:hAnsi="Times New Roman" w:cs="Times New Roman" w:eastAsiaTheme="minorEastAsia"/>
          <w:bCs/>
          <w:color w:val="000000" w:themeColor="text1"/>
          <w:sz w:val="24"/>
          <w14:textFill>
            <w14:solidFill>
              <w14:schemeClr w14:val="tx1"/>
            </w14:solidFill>
          </w14:textFill>
        </w:rPr>
      </w:pPr>
    </w:p>
    <w:p>
      <w:pPr>
        <w:numPr>
          <w:ilvl w:val="0"/>
          <w:numId w:val="66"/>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氨基酸的重要理化性质 </w:t>
      </w:r>
    </w:p>
    <w:p>
      <w:pPr>
        <w:numPr>
          <w:ilvl w:val="0"/>
          <w:numId w:val="67"/>
        </w:numPr>
        <w:tabs>
          <w:tab w:val="left" w:pos="0"/>
          <w:tab w:val="clear" w:pos="720"/>
        </w:tabs>
        <w:spacing w:line="400" w:lineRule="exact"/>
        <w:ind w:left="0"/>
        <w:rPr>
          <w:rFonts w:hint="default" w:ascii="Times New Roman" w:hAnsi="Times New Roman" w:cs="Times New Roman" w:eastAsiaTheme="minorEastAsia"/>
          <w:bCs/>
          <w:color w:val="000000" w:themeColor="text1"/>
          <w:sz w:val="24"/>
          <w14:textFill>
            <w14:solidFill>
              <w14:schemeClr w14:val="tx1"/>
            </w14:solidFill>
          </w14:textFill>
        </w:rPr>
      </w:pPr>
      <w:r>
        <w:rPr>
          <w:rFonts w:hint="default" w:ascii="Times New Roman" w:hAnsi="Times New Roman" w:cs="Times New Roman" w:eastAsiaTheme="minorEastAsia"/>
          <w:bCs/>
          <w:color w:val="000000" w:themeColor="text1"/>
          <w:sz w:val="24"/>
          <w14:textFill>
            <w14:solidFill>
              <w14:schemeClr w14:val="tx1"/>
            </w14:solidFill>
          </w14:textFill>
        </w:rPr>
        <w:t xml:space="preserve">烃基化反应 </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5104" behindDoc="0" locked="0" layoutInCell="1" allowOverlap="1">
            <wp:simplePos x="0" y="0"/>
            <wp:positionH relativeFrom="column">
              <wp:posOffset>-228600</wp:posOffset>
            </wp:positionH>
            <wp:positionV relativeFrom="paragraph">
              <wp:posOffset>45085</wp:posOffset>
            </wp:positionV>
            <wp:extent cx="1600200" cy="1169035"/>
            <wp:effectExtent l="0" t="0" r="0" b="12065"/>
            <wp:wrapNone/>
            <wp:docPr id="46" name="图片 165" descr="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65" descr="2.png"/>
                    <pic:cNvPicPr>
                      <a:picLocks noChangeAspect="1"/>
                    </pic:cNvPicPr>
                  </pic:nvPicPr>
                  <pic:blipFill>
                    <a:blip r:embed="rId44"/>
                    <a:stretch>
                      <a:fillRect/>
                    </a:stretch>
                  </pic:blipFill>
                  <pic:spPr>
                    <a:xfrm>
                      <a:off x="0" y="0"/>
                      <a:ext cx="1600200" cy="116903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6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氨基酸的重要理化性质 </w:t>
      </w:r>
    </w:p>
    <w:p>
      <w:pPr>
        <w:numPr>
          <w:ilvl w:val="0"/>
          <w:numId w:val="69"/>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α-羧基参加反应 </w:t>
      </w:r>
    </w:p>
    <w:p>
      <w:pPr>
        <w:numPr>
          <w:ilvl w:val="0"/>
          <w:numId w:val="69"/>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α-羧基与α-氨基共同参加的反应 </w:t>
      </w:r>
    </w:p>
    <w:p>
      <w:pPr>
        <w:numPr>
          <w:ilvl w:val="0"/>
          <w:numId w:val="7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6128" behindDoc="0" locked="0" layoutInCell="1" allowOverlap="1">
            <wp:simplePos x="0" y="0"/>
            <wp:positionH relativeFrom="column">
              <wp:posOffset>2217420</wp:posOffset>
            </wp:positionH>
            <wp:positionV relativeFrom="paragraph">
              <wp:posOffset>123825</wp:posOffset>
            </wp:positionV>
            <wp:extent cx="2164080" cy="1623060"/>
            <wp:effectExtent l="0" t="0" r="7620" b="15240"/>
            <wp:wrapNone/>
            <wp:docPr id="47" name="图片 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66"/>
                    <pic:cNvPicPr>
                      <a:picLocks noChangeAspect="1"/>
                    </pic:cNvPicPr>
                  </pic:nvPicPr>
                  <pic:blipFill>
                    <a:blip r:embed="rId45"/>
                    <a:stretch>
                      <a:fillRect/>
                    </a:stretch>
                  </pic:blipFill>
                  <pic:spPr>
                    <a:xfrm>
                      <a:off x="0" y="0"/>
                      <a:ext cx="2164080" cy="1623060"/>
                    </a:xfrm>
                    <a:prstGeom prst="rect">
                      <a:avLst/>
                    </a:prstGeom>
                    <a:noFill/>
                    <a:ln w="9525">
                      <a:noFill/>
                    </a:ln>
                  </pic:spPr>
                </pic:pic>
              </a:graphicData>
            </a:graphic>
          </wp:anchor>
        </w:drawing>
      </w:r>
      <w:r>
        <w:rPr>
          <w:rFonts w:hint="default" w:ascii="Times New Roman" w:hAnsi="Times New Roman" w:cs="Times New Roman" w:eastAsiaTheme="minorEastAsia"/>
          <w:bCs/>
          <w:color w:val="000000" w:themeColor="text1"/>
          <w:sz w:val="20"/>
          <w14:textFill>
            <w14:solidFill>
              <w14:schemeClr w14:val="tx1"/>
            </w14:solidFill>
          </w14:textFill>
        </w:rPr>
        <w:t xml:space="preserve">与茚三酮反应 </w:t>
      </w:r>
    </w:p>
    <w:p>
      <w:pPr>
        <w:numPr>
          <w:ilvl w:val="0"/>
          <w:numId w:val="71"/>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氨基酸的重要理化性质 </w:t>
      </w:r>
    </w:p>
    <w:p>
      <w:pPr>
        <w:numPr>
          <w:ilvl w:val="0"/>
          <w:numId w:val="72"/>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侧链R基参加的反应 </w:t>
      </w:r>
    </w:p>
    <w:p>
      <w:pPr>
        <w:numPr>
          <w:ilvl w:val="0"/>
          <w:numId w:val="7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酪氨酸的酚基反应 </w:t>
      </w:r>
    </w:p>
    <w:p>
      <w:pPr>
        <w:numPr>
          <w:ilvl w:val="0"/>
          <w:numId w:val="7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组氨酸的侧链咪唑基反应 </w:t>
      </w:r>
    </w:p>
    <w:p>
      <w:pPr>
        <w:numPr>
          <w:ilvl w:val="0"/>
          <w:numId w:val="7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精氨酸的侧链胍基反应 </w:t>
      </w:r>
    </w:p>
    <w:p>
      <w:pPr>
        <w:numPr>
          <w:ilvl w:val="0"/>
          <w:numId w:val="7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色氨酸的侧链吲哚基反应 </w:t>
      </w:r>
    </w:p>
    <w:p>
      <w:pPr>
        <w:numPr>
          <w:ilvl w:val="0"/>
          <w:numId w:val="7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蛋白质的化学组成与分子量 </w:t>
      </w:r>
    </w:p>
    <w:p>
      <w:pPr>
        <w:numPr>
          <w:ilvl w:val="0"/>
          <w:numId w:val="7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20种常用氨基酸，平均含氮量16%</w:t>
      </w:r>
    </w:p>
    <w:p>
      <w:pPr>
        <w:numPr>
          <w:ilvl w:val="0"/>
          <w:numId w:val="7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分子量变化范围大，不含辅基的蛋白质氨基酸残基平均分子量为110</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7152" behindDoc="0" locked="0" layoutInCell="1" allowOverlap="1">
            <wp:simplePos x="0" y="0"/>
            <wp:positionH relativeFrom="column">
              <wp:posOffset>-228600</wp:posOffset>
            </wp:positionH>
            <wp:positionV relativeFrom="paragraph">
              <wp:posOffset>-316865</wp:posOffset>
            </wp:positionV>
            <wp:extent cx="2065655" cy="1790700"/>
            <wp:effectExtent l="0" t="0" r="10795" b="0"/>
            <wp:wrapNone/>
            <wp:docPr id="48" name="对象 7"/>
            <wp:cNvGraphicFramePr/>
            <a:graphic xmlns:a="http://schemas.openxmlformats.org/drawingml/2006/main">
              <a:graphicData uri="http://schemas.openxmlformats.org/drawingml/2006/picture">
                <pic:pic xmlns:pic="http://schemas.openxmlformats.org/drawingml/2006/picture">
                  <pic:nvPicPr>
                    <pic:cNvPr id="48" name="对象 7"/>
                    <pic:cNvPicPr/>
                  </pic:nvPicPr>
                  <pic:blipFill>
                    <a:blip r:embed="rId46"/>
                    <a:srcRect l="-2281" t="-1662" b="-175"/>
                    <a:stretch>
                      <a:fillRect/>
                    </a:stretch>
                  </pic:blipFill>
                  <pic:spPr>
                    <a:xfrm>
                      <a:off x="0" y="0"/>
                      <a:ext cx="2065655" cy="179070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76"/>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蛋白质的物理化学性质 </w:t>
      </w:r>
    </w:p>
    <w:p>
      <w:pPr>
        <w:numPr>
          <w:ilvl w:val="0"/>
          <w:numId w:val="7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高分子有机物 </w:t>
      </w:r>
    </w:p>
    <w:p>
      <w:pPr>
        <w:numPr>
          <w:ilvl w:val="0"/>
          <w:numId w:val="7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沉降系数 </w:t>
      </w:r>
    </w:p>
    <w:p>
      <w:pPr>
        <w:numPr>
          <w:ilvl w:val="0"/>
          <w:numId w:val="7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摩擦系数 </w:t>
      </w:r>
    </w:p>
    <w:p>
      <w:pPr>
        <w:numPr>
          <w:ilvl w:val="0"/>
          <w:numId w:val="7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扩散系数 </w:t>
      </w:r>
    </w:p>
    <w:p>
      <w:pPr>
        <w:numPr>
          <w:ilvl w:val="0"/>
          <w:numId w:val="7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微分比容 </w:t>
      </w:r>
    </w:p>
    <w:p>
      <w:pPr>
        <w:numPr>
          <w:ilvl w:val="0"/>
          <w:numId w:val="7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溶液的粘度 </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8176" behindDoc="0" locked="0" layoutInCell="1" allowOverlap="1">
            <wp:simplePos x="0" y="0"/>
            <wp:positionH relativeFrom="column">
              <wp:posOffset>-228600</wp:posOffset>
            </wp:positionH>
            <wp:positionV relativeFrom="paragraph">
              <wp:posOffset>115570</wp:posOffset>
            </wp:positionV>
            <wp:extent cx="2065655" cy="1713230"/>
            <wp:effectExtent l="0" t="0" r="10795" b="1270"/>
            <wp:wrapNone/>
            <wp:docPr id="49" name="图片 168"/>
            <wp:cNvGraphicFramePr/>
            <a:graphic xmlns:a="http://schemas.openxmlformats.org/drawingml/2006/main">
              <a:graphicData uri="http://schemas.openxmlformats.org/drawingml/2006/picture">
                <pic:pic xmlns:pic="http://schemas.openxmlformats.org/drawingml/2006/picture">
                  <pic:nvPicPr>
                    <pic:cNvPr id="49" name="图片 168"/>
                    <pic:cNvPicPr/>
                  </pic:nvPicPr>
                  <pic:blipFill>
                    <a:blip r:embed="rId47"/>
                    <a:srcRect l="-1668" t="-1601" b="-282"/>
                    <a:stretch>
                      <a:fillRect/>
                    </a:stretch>
                  </pic:blipFill>
                  <pic:spPr>
                    <a:xfrm>
                      <a:off x="0" y="0"/>
                      <a:ext cx="2065655" cy="171323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79"/>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蛋白质的物理化学性质 </w:t>
      </w:r>
    </w:p>
    <w:p>
      <w:pPr>
        <w:numPr>
          <w:ilvl w:val="0"/>
          <w:numId w:val="8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两性解离 </w:t>
      </w:r>
    </w:p>
    <w:p>
      <w:pPr>
        <w:numPr>
          <w:ilvl w:val="0"/>
          <w:numId w:val="8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与茚三酮反应 </w:t>
      </w:r>
    </w:p>
    <w:p>
      <w:pPr>
        <w:numPr>
          <w:ilvl w:val="0"/>
          <w:numId w:val="8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双缩脲反应 </w:t>
      </w:r>
    </w:p>
    <w:p>
      <w:pPr>
        <w:numPr>
          <w:ilvl w:val="0"/>
          <w:numId w:val="8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福林酚反应 </w:t>
      </w:r>
    </w:p>
    <w:p>
      <w:pPr>
        <w:numPr>
          <w:ilvl w:val="0"/>
          <w:numId w:val="8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紫外吸收 </w:t>
      </w:r>
    </w:p>
    <w:p>
      <w:pPr>
        <w:numPr>
          <w:ilvl w:val="0"/>
          <w:numId w:val="81"/>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鉴别与检查</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699200" behindDoc="0" locked="0" layoutInCell="1" allowOverlap="1">
            <wp:simplePos x="0" y="0"/>
            <wp:positionH relativeFrom="column">
              <wp:posOffset>-251460</wp:posOffset>
            </wp:positionH>
            <wp:positionV relativeFrom="paragraph">
              <wp:posOffset>88900</wp:posOffset>
            </wp:positionV>
            <wp:extent cx="1805940" cy="1821180"/>
            <wp:effectExtent l="0" t="0" r="3810" b="7620"/>
            <wp:wrapNone/>
            <wp:docPr id="50" name="图片 169"/>
            <wp:cNvGraphicFramePr/>
            <a:graphic xmlns:a="http://schemas.openxmlformats.org/drawingml/2006/main">
              <a:graphicData uri="http://schemas.openxmlformats.org/drawingml/2006/picture">
                <pic:pic xmlns:pic="http://schemas.openxmlformats.org/drawingml/2006/picture">
                  <pic:nvPicPr>
                    <pic:cNvPr id="50" name="图片 169"/>
                    <pic:cNvPicPr/>
                  </pic:nvPicPr>
                  <pic:blipFill>
                    <a:blip r:embed="rId48"/>
                    <a:srcRect b="-897"/>
                    <a:stretch>
                      <a:fillRect/>
                    </a:stretch>
                  </pic:blipFill>
                  <pic:spPr>
                    <a:xfrm>
                      <a:off x="0" y="0"/>
                      <a:ext cx="1805940" cy="182118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82"/>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鉴别 </w:t>
      </w:r>
    </w:p>
    <w:p>
      <w:pPr>
        <w:numPr>
          <w:ilvl w:val="0"/>
          <w:numId w:val="8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氨基酸的鉴别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旋光性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红外光谱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紫外吸收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与茚三酮反应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纸层析 </w:t>
      </w:r>
    </w:p>
    <w:p>
      <w:pPr>
        <w:numPr>
          <w:ilvl w:val="0"/>
          <w:numId w:val="8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鉴别与检查</w:t>
      </w:r>
    </w:p>
    <w:p>
      <w:pPr>
        <w:numPr>
          <w:ilvl w:val="0"/>
          <w:numId w:val="8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鉴别 </w:t>
      </w:r>
    </w:p>
    <w:p>
      <w:pPr>
        <w:numPr>
          <w:ilvl w:val="0"/>
          <w:numId w:val="86"/>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蛋白质类药物的鉴别 </w:t>
      </w:r>
    </w:p>
    <w:p>
      <w:pPr>
        <w:numPr>
          <w:ilvl w:val="0"/>
          <w:numId w:val="8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与茚三酮反应 </w:t>
      </w:r>
    </w:p>
    <w:p>
      <w:pPr>
        <w:numPr>
          <w:ilvl w:val="0"/>
          <w:numId w:val="8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福林酚反应或双缩脲反应 </w:t>
      </w:r>
    </w:p>
    <w:p>
      <w:pPr>
        <w:numPr>
          <w:ilvl w:val="0"/>
          <w:numId w:val="8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紫外吸收 </w:t>
      </w:r>
    </w:p>
    <w:p>
      <w:pPr>
        <w:numPr>
          <w:ilvl w:val="0"/>
          <w:numId w:val="8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鉴别与检查</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700224" behindDoc="0" locked="0" layoutInCell="1" allowOverlap="1">
            <wp:simplePos x="0" y="0"/>
            <wp:positionH relativeFrom="column">
              <wp:posOffset>-265430</wp:posOffset>
            </wp:positionH>
            <wp:positionV relativeFrom="paragraph">
              <wp:posOffset>110490</wp:posOffset>
            </wp:positionV>
            <wp:extent cx="2254885" cy="1576070"/>
            <wp:effectExtent l="0" t="0" r="12065" b="5080"/>
            <wp:wrapNone/>
            <wp:docPr id="51" name="图片 170" descr="http://basic.shsmu.edu.cn/jpkc/wsjjx/caj/images/c9_0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70" descr="http://basic.shsmu.edu.cn/jpkc/wsjjx/caj/images/c9_02/001.gif"/>
                    <pic:cNvPicPr>
                      <a:picLocks noChangeAspect="1"/>
                    </pic:cNvPicPr>
                  </pic:nvPicPr>
                  <pic:blipFill>
                    <a:blip r:embed="rId49"/>
                    <a:stretch>
                      <a:fillRect/>
                    </a:stretch>
                  </pic:blipFill>
                  <pic:spPr>
                    <a:xfrm>
                      <a:off x="0" y="0"/>
                      <a:ext cx="2254885" cy="157607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8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8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检查 </w:t>
      </w:r>
    </w:p>
    <w:p>
      <w:pPr>
        <w:numPr>
          <w:ilvl w:val="0"/>
          <w:numId w:val="89"/>
        </w:numPr>
        <w:tabs>
          <w:tab w:val="left" w:pos="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一般检查 </w:t>
      </w:r>
    </w:p>
    <w:p>
      <w:pPr>
        <w:numPr>
          <w:ilvl w:val="0"/>
          <w:numId w:val="89"/>
        </w:numPr>
        <w:tabs>
          <w:tab w:val="left" w:pos="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蛋白质检查 </w:t>
      </w:r>
    </w:p>
    <w:p>
      <w:pPr>
        <w:numPr>
          <w:ilvl w:val="0"/>
          <w:numId w:val="89"/>
        </w:numPr>
        <w:tabs>
          <w:tab w:val="left" w:pos="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有关物质 </w:t>
      </w:r>
    </w:p>
    <w:p>
      <w:pPr>
        <w:numPr>
          <w:ilvl w:val="0"/>
          <w:numId w:val="89"/>
        </w:numPr>
        <w:tabs>
          <w:tab w:val="left" w:pos="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纯度</w:t>
      </w:r>
    </w:p>
    <w:p>
      <w:pPr>
        <w:numPr>
          <w:ilvl w:val="0"/>
          <w:numId w:val="9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氨基酸含量分析</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701248" behindDoc="0" locked="0" layoutInCell="1" allowOverlap="1">
            <wp:simplePos x="0" y="0"/>
            <wp:positionH relativeFrom="column">
              <wp:posOffset>-198120</wp:posOffset>
            </wp:positionH>
            <wp:positionV relativeFrom="paragraph">
              <wp:posOffset>90805</wp:posOffset>
            </wp:positionV>
            <wp:extent cx="2011680" cy="1532255"/>
            <wp:effectExtent l="0" t="0" r="7620" b="10795"/>
            <wp:wrapNone/>
            <wp:docPr id="52" name="图片 171" descr="http://elec.wanfangdata.com.cn/qikan/periodical.articles/haixyx/haix2000/0002/image2/t3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171" descr="http://elec.wanfangdata.com.cn/qikan/periodical.articles/haixyx/haix2000/0002/image2/t3002.gif"/>
                    <pic:cNvPicPr>
                      <a:picLocks noChangeAspect="1"/>
                    </pic:cNvPicPr>
                  </pic:nvPicPr>
                  <pic:blipFill>
                    <a:blip r:embed="rId50"/>
                    <a:stretch>
                      <a:fillRect/>
                    </a:stretch>
                  </pic:blipFill>
                  <pic:spPr>
                    <a:xfrm>
                      <a:off x="0" y="0"/>
                      <a:ext cx="2011680" cy="1532255"/>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numPr>
          <w:ilvl w:val="0"/>
          <w:numId w:val="91"/>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茚三酮反应法 </w:t>
      </w:r>
    </w:p>
    <w:p>
      <w:pPr>
        <w:numPr>
          <w:ilvl w:val="0"/>
          <w:numId w:val="92"/>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允许测定范围：0.5-50微克氨基酸 </w:t>
      </w:r>
    </w:p>
    <w:p>
      <w:pPr>
        <w:numPr>
          <w:ilvl w:val="0"/>
          <w:numId w:val="9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滴定法 </w:t>
      </w:r>
    </w:p>
    <w:p>
      <w:pPr>
        <w:numPr>
          <w:ilvl w:val="0"/>
          <w:numId w:val="9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甲醛滴定法 </w:t>
      </w:r>
    </w:p>
    <w:p>
      <w:pPr>
        <w:numPr>
          <w:ilvl w:val="0"/>
          <w:numId w:val="9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非水滴定法 </w:t>
      </w:r>
    </w:p>
    <w:p>
      <w:pPr>
        <w:numPr>
          <w:ilvl w:val="0"/>
          <w:numId w:val="9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导数分光光度法 </w:t>
      </w:r>
    </w:p>
    <w:p>
      <w:pPr>
        <w:numPr>
          <w:ilvl w:val="0"/>
          <w:numId w:val="9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HPLC或氨基酸自动分析仪法 </w:t>
      </w:r>
    </w:p>
    <w:p>
      <w:pPr>
        <w:numPr>
          <w:ilvl w:val="0"/>
          <w:numId w:val="96"/>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蛋白质药物含量分析</w:t>
      </w:r>
    </w:p>
    <w:p>
      <w:pPr>
        <w:numPr>
          <w:ilvl w:val="0"/>
          <w:numId w:val="9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凯式定氮法 </w:t>
      </w:r>
    </w:p>
    <w:p>
      <w:pPr>
        <w:numPr>
          <w:ilvl w:val="0"/>
          <w:numId w:val="9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常量法：相当于含氮量25-30mg</w:t>
      </w:r>
    </w:p>
    <w:p>
      <w:pPr>
        <w:numPr>
          <w:ilvl w:val="0"/>
          <w:numId w:val="98"/>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半微量法：相当于含氮量1-2mg</w:t>
      </w:r>
    </w:p>
    <w:p>
      <w:pPr>
        <w:numPr>
          <w:ilvl w:val="0"/>
          <w:numId w:val="99"/>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双缩脲法 </w:t>
      </w:r>
    </w:p>
    <w:p>
      <w:pPr>
        <w:numPr>
          <w:ilvl w:val="0"/>
          <w:numId w:val="10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常量法：测定范围为1-10mg蛋白质/ml</w:t>
      </w:r>
    </w:p>
    <w:p>
      <w:pPr>
        <w:numPr>
          <w:ilvl w:val="0"/>
          <w:numId w:val="100"/>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微量双缩脲法： 0.1-1.0mg蛋白质/ml</w:t>
      </w:r>
    </w:p>
    <w:p>
      <w:pPr>
        <w:numPr>
          <w:ilvl w:val="0"/>
          <w:numId w:val="101"/>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福林酚试剂法 </w:t>
      </w:r>
    </w:p>
    <w:p>
      <w:pPr>
        <w:numPr>
          <w:ilvl w:val="0"/>
          <w:numId w:val="102"/>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蛋白质药物含量分析</w:t>
      </w:r>
    </w:p>
    <w:p>
      <w:pPr>
        <w:numPr>
          <w:ilvl w:val="0"/>
          <w:numId w:val="103"/>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紫外吸收法 </w:t>
      </w:r>
    </w:p>
    <w:p>
      <w:pPr>
        <w:numPr>
          <w:ilvl w:val="0"/>
          <w:numId w:val="10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280nm光吸收法：0.01-0.1mg/ml</w:t>
      </w:r>
    </w:p>
    <w:p>
      <w:pPr>
        <w:numPr>
          <w:ilvl w:val="0"/>
          <w:numId w:val="104"/>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280nm和260nm光吸收差法 </w:t>
      </w:r>
    </w:p>
    <w:p>
      <w:pPr>
        <w:numPr>
          <w:ilvl w:val="0"/>
          <w:numId w:val="105"/>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考马斯亮蓝G-250染色法 </w:t>
      </w:r>
    </w:p>
    <w:p>
      <w:pPr>
        <w:numPr>
          <w:ilvl w:val="0"/>
          <w:numId w:val="106"/>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测定范围为 0.01-1.0mg蛋白质/ml</w:t>
      </w:r>
    </w:p>
    <w:p>
      <w:pPr>
        <w:numPr>
          <w:ilvl w:val="0"/>
          <w:numId w:val="107"/>
        </w:numPr>
        <w:tabs>
          <w:tab w:val="left" w:pos="0"/>
          <w:tab w:val="clear" w:pos="720"/>
        </w:tabs>
        <w:spacing w:line="400" w:lineRule="exact"/>
        <w:ind w:left="0"/>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 xml:space="preserve">生物检定法 </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作业：</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1.氨基酸药物分析常用方法</w:t>
      </w:r>
    </w:p>
    <w:p>
      <w:pPr>
        <w:spacing w:line="400" w:lineRule="exact"/>
        <w:rPr>
          <w:rFonts w:hint="default" w:ascii="Times New Roman" w:hAnsi="Times New Roman" w:cs="Times New Roman" w:eastAsiaTheme="minorEastAsia"/>
          <w:bCs/>
          <w:color w:val="000000" w:themeColor="text1"/>
          <w:sz w:val="20"/>
          <w14:textFill>
            <w14:solidFill>
              <w14:schemeClr w14:val="tx1"/>
            </w14:solidFill>
          </w14:textFill>
        </w:rPr>
      </w:pPr>
      <w:r>
        <w:rPr>
          <w:rFonts w:hint="default" w:ascii="Times New Roman" w:hAnsi="Times New Roman" w:cs="Times New Roman" w:eastAsiaTheme="minorEastAsia"/>
          <w:bCs/>
          <w:color w:val="000000" w:themeColor="text1"/>
          <w:sz w:val="20"/>
          <w14:textFill>
            <w14:solidFill>
              <w14:schemeClr w14:val="tx1"/>
            </w14:solidFill>
          </w14:textFill>
        </w:rPr>
        <w:t>2.蛋白质药物常用分析方法</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1.《生物药物分析》  白秀峰、张怡轩   中国医药科技出版社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tbl>
      <w:tblPr>
        <w:tblStyle w:val="13"/>
        <w:tblpPr w:leftFromText="180" w:rightFromText="180" w:vertAnchor="text" w:horzAnchor="margin" w:tblpX="-86" w:tblpY="157"/>
        <w:tblW w:w="9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2060"/>
        <w:gridCol w:w="1150"/>
        <w:gridCol w:w="1130"/>
        <w:gridCol w:w="1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bookmarkStart w:id="11" w:name="OLE_LINK15"/>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54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十</w:t>
            </w:r>
            <w:r>
              <w:rPr>
                <w:rFonts w:hint="default" w:ascii="Times New Roman" w:hAnsi="Times New Roman" w:cs="Times New Roman" w:eastAsiaTheme="minorEastAsia"/>
                <w:color w:val="000000" w:themeColor="text1"/>
                <w:sz w:val="24"/>
                <w:szCs w:val="32"/>
                <w14:textFill>
                  <w14:solidFill>
                    <w14:schemeClr w14:val="tx1"/>
                  </w14:solidFill>
                </w14:textFill>
              </w:rPr>
              <w:t>章 多糖类药物的分析</w:t>
            </w:r>
          </w:p>
        </w:tc>
        <w:tc>
          <w:tcPr>
            <w:tcW w:w="115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25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5</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1</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20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5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2</w:t>
            </w:r>
          </w:p>
        </w:tc>
        <w:tc>
          <w:tcPr>
            <w:tcW w:w="113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120"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bookmarkEnd w:id="11"/>
    </w:tbl>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粘多糖</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1、熟悉多糖的鉴别试验</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2、掌握多糖的含量测定方法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3、了解粘多糖的生物活性测定方法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细菌多糖</w:t>
      </w:r>
    </w:p>
    <w:p>
      <w:pPr>
        <w:spacing w:line="360" w:lineRule="exact"/>
        <w:ind w:left="420" w:leftChars="200" w:firstLine="210" w:firstLineChars="1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了解细菌多糖的鉴别、检查和含量测定</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真菌多糖</w:t>
      </w:r>
    </w:p>
    <w:p>
      <w:pPr>
        <w:spacing w:line="360" w:lineRule="exact"/>
        <w:ind w:left="420" w:leftChars="200" w:firstLine="210" w:firstLineChars="1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了解真菌多糖多糖的鉴别、检查和含量测定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【重点和难点】</w:t>
      </w:r>
    </w:p>
    <w:p>
      <w:pPr>
        <w:spacing w:line="400" w:lineRule="exact"/>
        <w:ind w:left="315" w:hanging="315" w:hangingChars="1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1、掌握</w:t>
      </w:r>
      <w:r>
        <w:rPr>
          <w:rFonts w:hint="default" w:ascii="Times New Roman" w:hAnsi="Times New Roman" w:cs="Times New Roman" w:eastAsiaTheme="minorEastAsia"/>
          <w:color w:val="000000" w:themeColor="text1"/>
          <w:szCs w:val="21"/>
          <w14:textFill>
            <w14:solidFill>
              <w14:schemeClr w14:val="tx1"/>
            </w14:solidFill>
          </w14:textFill>
        </w:rPr>
        <w:t>粘多糖</w:t>
      </w:r>
      <w:r>
        <w:rPr>
          <w:rFonts w:hint="default" w:ascii="Times New Roman" w:hAnsi="Times New Roman" w:cs="Times New Roman" w:eastAsiaTheme="minorEastAsia"/>
          <w:color w:val="000000" w:themeColor="text1"/>
          <w14:textFill>
            <w14:solidFill>
              <w14:schemeClr w14:val="tx1"/>
            </w14:solidFill>
          </w14:textFill>
        </w:rPr>
        <w:t>的分析方法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2、熟悉</w:t>
      </w:r>
      <w:r>
        <w:rPr>
          <w:rFonts w:hint="default" w:ascii="Times New Roman" w:hAnsi="Times New Roman" w:cs="Times New Roman" w:eastAsiaTheme="minorEastAsia"/>
          <w:color w:val="000000" w:themeColor="text1"/>
          <w:szCs w:val="21"/>
          <w14:textFill>
            <w14:solidFill>
              <w14:schemeClr w14:val="tx1"/>
            </w14:solidFill>
          </w14:textFill>
        </w:rPr>
        <w:t>真菌多糖</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3、了解几种多糖药物的质量分析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1）粘多糖</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2）细菌多糖</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3）真菌多糖</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ind w:firstLine="413"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相关教学幻灯片，展示生活中常见的多糖类药物，由此引出本节课讲授的具体内容。与幻灯片内容相互配合进行讲解。需要理解和识记的内容播放内容教慢。</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704320" behindDoc="0" locked="0" layoutInCell="1" allowOverlap="1">
            <wp:simplePos x="0" y="0"/>
            <wp:positionH relativeFrom="column">
              <wp:posOffset>1760220</wp:posOffset>
            </wp:positionH>
            <wp:positionV relativeFrom="paragraph">
              <wp:posOffset>139065</wp:posOffset>
            </wp:positionV>
            <wp:extent cx="3505200" cy="2524760"/>
            <wp:effectExtent l="0" t="0" r="0" b="8890"/>
            <wp:wrapNone/>
            <wp:docPr id="78" name="图片 174" descr="QQ截图201309261625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图片 174" descr="QQ截图20130926162523.jpg"/>
                    <pic:cNvPicPr>
                      <a:picLocks noChangeAspect="1"/>
                    </pic:cNvPicPr>
                  </pic:nvPicPr>
                  <pic:blipFill>
                    <a:blip r:embed="rId51"/>
                    <a:stretch>
                      <a:fillRect/>
                    </a:stretch>
                  </pic:blipFill>
                  <pic:spPr>
                    <a:xfrm>
                      <a:off x="0" y="0"/>
                      <a:ext cx="3505200" cy="2524760"/>
                    </a:xfrm>
                    <a:prstGeom prst="rect">
                      <a:avLst/>
                    </a:prstGeom>
                    <a:noFill/>
                    <a:ln w="9525">
                      <a:noFill/>
                    </a:ln>
                  </pic:spPr>
                </pic:pic>
              </a:graphicData>
            </a:graphic>
          </wp:anchor>
        </w:drawing>
      </w:r>
      <w:r>
        <w:rPr>
          <w:rFonts w:hint="default" w:ascii="Times New Roman" w:hAnsi="Times New Roman" w:cs="Times New Roman" w:eastAsiaTheme="minorEastAsia"/>
          <w:b/>
          <w:color w:val="000000" w:themeColor="text1"/>
          <w14:textFill>
            <w14:solidFill>
              <w14:schemeClr w14:val="tx1"/>
            </w14:solidFill>
          </w14:textFill>
        </w:rPr>
        <w:t>（90分钟）</w:t>
      </w:r>
    </w:p>
    <w:p>
      <w:pPr>
        <w:numPr>
          <w:ilvl w:val="0"/>
          <w:numId w:val="108"/>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  述</w:t>
      </w:r>
    </w:p>
    <w:p>
      <w:pPr>
        <w:numPr>
          <w:ilvl w:val="0"/>
          <w:numId w:val="109"/>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多糖类药物结构分析研究 </w:t>
      </w:r>
    </w:p>
    <w:p>
      <w:pPr>
        <w:numPr>
          <w:ilvl w:val="0"/>
          <w:numId w:val="110"/>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多糖中单糖组成分析 </w:t>
      </w:r>
    </w:p>
    <w:p>
      <w:pPr>
        <w:numPr>
          <w:ilvl w:val="0"/>
          <w:numId w:val="110"/>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分子量测定 </w:t>
      </w:r>
    </w:p>
    <w:p>
      <w:pPr>
        <w:numPr>
          <w:ilvl w:val="0"/>
          <w:numId w:val="110"/>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糖苷键连接方式的测定 </w:t>
      </w:r>
    </w:p>
    <w:p>
      <w:pPr>
        <w:numPr>
          <w:ilvl w:val="0"/>
          <w:numId w:val="110"/>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糖苷键连接位置的 测定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多糖类药</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物结构分析研究 </w:t>
      </w:r>
    </w:p>
    <w:p>
      <w:pPr>
        <w:numPr>
          <w:ilvl w:val="0"/>
          <w:numId w:val="111"/>
        </w:numPr>
        <w:tabs>
          <w:tab w:val="left" w:pos="0"/>
          <w:tab w:val="clear" w:pos="720"/>
        </w:tabs>
        <w:spacing w:line="400" w:lineRule="exact"/>
        <w:ind w:left="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多糖中单糖组成分析 </w:t>
      </w:r>
    </w:p>
    <w:p>
      <w:pPr>
        <w:numPr>
          <w:ilvl w:val="0"/>
          <w:numId w:val="11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定性鉴别 </w:t>
      </w:r>
    </w:p>
    <w:p>
      <w:pPr>
        <w:numPr>
          <w:ilvl w:val="0"/>
          <w:numId w:val="11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单糖的分离鉴定 </w:t>
      </w:r>
    </w:p>
    <w:p>
      <w:pPr>
        <w:numPr>
          <w:ilvl w:val="0"/>
          <w:numId w:val="11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各单糖的含量测定及组成的分子比值 </w:t>
      </w:r>
    </w:p>
    <w:p>
      <w:pPr>
        <w:numPr>
          <w:ilvl w:val="0"/>
          <w:numId w:val="11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多糖类药物结构分析研究 </w:t>
      </w:r>
    </w:p>
    <w:p>
      <w:pPr>
        <w:numPr>
          <w:ilvl w:val="0"/>
          <w:numId w:val="11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分子量测定 </w:t>
      </w:r>
    </w:p>
    <w:p>
      <w:pPr>
        <w:numPr>
          <w:ilvl w:val="0"/>
          <w:numId w:val="11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凝胶渗透色谱法 </w:t>
      </w:r>
    </w:p>
    <w:p>
      <w:pPr>
        <w:numPr>
          <w:ilvl w:val="0"/>
          <w:numId w:val="11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其他测定法 </w:t>
      </w:r>
    </w:p>
    <w:p>
      <w:pPr>
        <w:numPr>
          <w:ilvl w:val="0"/>
          <w:numId w:val="116"/>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糖苷键连接方式的测定 </w:t>
      </w:r>
    </w:p>
    <w:p>
      <w:pPr>
        <w:numPr>
          <w:ilvl w:val="0"/>
          <w:numId w:val="11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红外光谱测定 </w:t>
      </w:r>
    </w:p>
    <w:p>
      <w:pPr>
        <w:numPr>
          <w:ilvl w:val="0"/>
          <w:numId w:val="11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核磁共振谱 </w:t>
      </w:r>
    </w:p>
    <w:p>
      <w:pPr>
        <w:numPr>
          <w:ilvl w:val="0"/>
          <w:numId w:val="11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多糖类药物结构分析研究 </w:t>
      </w:r>
    </w:p>
    <w:p>
      <w:pPr>
        <w:numPr>
          <w:ilvl w:val="0"/>
          <w:numId w:val="119"/>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糖苷键连接位置的测定 </w:t>
      </w:r>
    </w:p>
    <w:p>
      <w:pPr>
        <w:numPr>
          <w:ilvl w:val="0"/>
          <w:numId w:val="12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高碘酸氧化 </w:t>
      </w:r>
    </w:p>
    <w:p>
      <w:pPr>
        <w:numPr>
          <w:ilvl w:val="0"/>
          <w:numId w:val="12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Smith降解 </w:t>
      </w:r>
    </w:p>
    <w:p>
      <w:pPr>
        <w:numPr>
          <w:ilvl w:val="0"/>
          <w:numId w:val="12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甲基化反应产物分析 </w:t>
      </w:r>
    </w:p>
    <w:p>
      <w:pPr>
        <w:numPr>
          <w:ilvl w:val="0"/>
          <w:numId w:val="12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乙酰解后质谱分析 （到此课程进行45分钟）</w:t>
      </w:r>
    </w:p>
    <w:p>
      <w:pPr>
        <w:numPr>
          <w:ilvl w:val="0"/>
          <w:numId w:val="12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1mol 1-或1-6位糖苷键连接的葡聚糖被高碘酸氧化时消耗2mol高碘酸，生成1mol甲酸 </w:t>
      </w:r>
    </w:p>
    <w:p>
      <w:pPr>
        <w:numPr>
          <w:ilvl w:val="0"/>
          <w:numId w:val="12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1mol1-2或1-2,6、1-4、1-4,6位糖苷键连接的葡聚糖被高碘酸氧化时只消耗高碘酸，不生成甲酸 </w:t>
      </w:r>
    </w:p>
    <w:p>
      <w:pPr>
        <w:numPr>
          <w:ilvl w:val="0"/>
          <w:numId w:val="12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不被高碘酸氧化的己糖残基糖苷键型为：1-3、1-3,6、1-2、1-2,4、1-3,4、1-2,3,4</w:t>
      </w:r>
    </w:p>
    <w:p>
      <w:pPr>
        <w:numPr>
          <w:ilvl w:val="0"/>
          <w:numId w:val="12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产生甘油的 己糖残基糖苷键型为：1-、1-6、1-2、1-2,6</w:t>
      </w:r>
    </w:p>
    <w:p>
      <w:pPr>
        <w:numPr>
          <w:ilvl w:val="0"/>
          <w:numId w:val="12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产生赤藓醇的己糖残基糖苷键型为：1-4、1-4,6 </w:t>
      </w:r>
    </w:p>
    <w:p>
      <w:pPr>
        <w:numPr>
          <w:ilvl w:val="0"/>
          <w:numId w:val="12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概  述</w:t>
      </w:r>
    </w:p>
    <w:p>
      <w:pPr>
        <w:numPr>
          <w:ilvl w:val="0"/>
          <w:numId w:val="12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多糖类新药的理化特性分析 </w:t>
      </w:r>
    </w:p>
    <w:p>
      <w:pPr>
        <w:numPr>
          <w:ilvl w:val="0"/>
          <w:numId w:val="12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705344" behindDoc="0" locked="0" layoutInCell="1" allowOverlap="1">
            <wp:simplePos x="0" y="0"/>
            <wp:positionH relativeFrom="column">
              <wp:posOffset>2209800</wp:posOffset>
            </wp:positionH>
            <wp:positionV relativeFrom="paragraph">
              <wp:posOffset>129540</wp:posOffset>
            </wp:positionV>
            <wp:extent cx="3009900" cy="1979295"/>
            <wp:effectExtent l="0" t="0" r="0" b="1905"/>
            <wp:wrapNone/>
            <wp:docPr id="79" name="对象 15"/>
            <wp:cNvGraphicFramePr/>
            <a:graphic xmlns:a="http://schemas.openxmlformats.org/drawingml/2006/main">
              <a:graphicData uri="http://schemas.openxmlformats.org/drawingml/2006/picture">
                <pic:pic xmlns:pic="http://schemas.openxmlformats.org/drawingml/2006/picture">
                  <pic:nvPicPr>
                    <pic:cNvPr id="79" name="对象 15"/>
                    <pic:cNvPicPr/>
                  </pic:nvPicPr>
                  <pic:blipFill>
                    <a:blip r:embed="rId52"/>
                    <a:srcRect t="-3838" b="-960"/>
                    <a:stretch>
                      <a:fillRect/>
                    </a:stretch>
                  </pic:blipFill>
                  <pic:spPr>
                    <a:xfrm>
                      <a:off x="0" y="0"/>
                      <a:ext cx="3009900" cy="197929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t xml:space="preserve">物理常数测定 </w:t>
      </w:r>
    </w:p>
    <w:p>
      <w:pPr>
        <w:numPr>
          <w:ilvl w:val="0"/>
          <w:numId w:val="12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溶解度 </w:t>
      </w:r>
    </w:p>
    <w:p>
      <w:pPr>
        <w:numPr>
          <w:ilvl w:val="0"/>
          <w:numId w:val="12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比旋光度 </w:t>
      </w:r>
    </w:p>
    <w:p>
      <w:pPr>
        <w:numPr>
          <w:ilvl w:val="0"/>
          <w:numId w:val="12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特性黏度 </w:t>
      </w:r>
    </w:p>
    <w:p>
      <w:pPr>
        <w:numPr>
          <w:ilvl w:val="0"/>
          <w:numId w:val="126"/>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纯度分析 </w:t>
      </w:r>
    </w:p>
    <w:p>
      <w:pPr>
        <w:numPr>
          <w:ilvl w:val="0"/>
          <w:numId w:val="126"/>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 </w:t>
      </w:r>
    </w:p>
    <w:p>
      <w:pPr>
        <w:numPr>
          <w:ilvl w:val="0"/>
          <w:numId w:val="12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黏多糖的特点</w:t>
      </w:r>
    </w:p>
    <w:p>
      <w:pPr>
        <w:numPr>
          <w:ilvl w:val="0"/>
          <w:numId w:val="12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29"/>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黏多糖分析 </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numPr>
          <w:ilvl w:val="0"/>
          <w:numId w:val="13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沉淀法 </w:t>
      </w:r>
    </w:p>
    <w:p>
      <w:pPr>
        <w:numPr>
          <w:ilvl w:val="0"/>
          <w:numId w:val="13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甲苯胺蓝染色 </w:t>
      </w:r>
    </w:p>
    <w:p>
      <w:pPr>
        <w:numPr>
          <w:ilvl w:val="0"/>
          <w:numId w:val="13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SO</w:t>
      </w:r>
      <w:r>
        <w:rPr>
          <w:rFonts w:hint="default" w:ascii="Times New Roman" w:hAnsi="Times New Roman" w:cs="Times New Roman" w:eastAsiaTheme="minorEastAsia"/>
          <w:color w:val="000000" w:themeColor="text1"/>
          <w:vertAlign w:val="subscript"/>
          <w14:textFill>
            <w14:solidFill>
              <w14:schemeClr w14:val="tx1"/>
            </w14:solidFill>
          </w14:textFill>
        </w:rPr>
        <w:t>4</w:t>
      </w:r>
      <w:r>
        <w:rPr>
          <w:rFonts w:hint="default" w:ascii="Times New Roman" w:hAnsi="Times New Roman" w:cs="Times New Roman" w:eastAsiaTheme="minorEastAsia"/>
          <w:color w:val="000000" w:themeColor="text1"/>
          <w:vertAlign w:val="superscript"/>
          <w14:textFill>
            <w14:solidFill>
              <w14:schemeClr w14:val="tx1"/>
            </w14:solidFill>
          </w14:textFill>
        </w:rPr>
        <w:t>2-</w:t>
      </w:r>
      <w:r>
        <w:rPr>
          <w:rFonts w:hint="default" w:ascii="Times New Roman" w:hAnsi="Times New Roman" w:cs="Times New Roman" w:eastAsiaTheme="minorEastAsia"/>
          <w:color w:val="000000" w:themeColor="text1"/>
          <w14:textFill>
            <w14:solidFill>
              <w14:schemeClr w14:val="tx1"/>
            </w14:solidFill>
          </w14:textFill>
        </w:rPr>
        <w:t xml:space="preserve">鉴别反应 </w:t>
      </w:r>
    </w:p>
    <w:p>
      <w:pPr>
        <w:numPr>
          <w:ilvl w:val="0"/>
          <w:numId w:val="13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标准品对照法 </w:t>
      </w:r>
    </w:p>
    <w:p>
      <w:pPr>
        <w:numPr>
          <w:ilvl w:val="0"/>
          <w:numId w:val="13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3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黏多糖分析 </w:t>
      </w:r>
    </w:p>
    <w:p>
      <w:pPr>
        <w:numPr>
          <w:ilvl w:val="0"/>
          <w:numId w:val="13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numPr>
          <w:ilvl w:val="0"/>
          <w:numId w:val="13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吸光度 </w:t>
      </w:r>
    </w:p>
    <w:p>
      <w:pPr>
        <w:numPr>
          <w:ilvl w:val="0"/>
          <w:numId w:val="13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黏度 </w:t>
      </w:r>
    </w:p>
    <w:p>
      <w:pPr>
        <w:numPr>
          <w:ilvl w:val="0"/>
          <w:numId w:val="13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含氮量 </w:t>
      </w:r>
    </w:p>
    <w:p>
      <w:pPr>
        <w:numPr>
          <w:ilvl w:val="0"/>
          <w:numId w:val="13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氯化物 </w:t>
      </w:r>
    </w:p>
    <w:p>
      <w:pPr>
        <w:numPr>
          <w:ilvl w:val="0"/>
          <w:numId w:val="13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硫 </w:t>
      </w:r>
    </w:p>
    <w:p>
      <w:pPr>
        <w:numPr>
          <w:ilvl w:val="0"/>
          <w:numId w:val="13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36"/>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黏多糖分析 </w:t>
      </w:r>
    </w:p>
    <w:p>
      <w:pPr>
        <w:numPr>
          <w:ilvl w:val="0"/>
          <w:numId w:val="13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含量测定——理化分析法 </w:t>
      </w:r>
    </w:p>
    <w:p>
      <w:pPr>
        <w:numPr>
          <w:ilvl w:val="0"/>
          <w:numId w:val="13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氨基己糖的测定（elson-morgan法） </w:t>
      </w:r>
    </w:p>
    <w:p>
      <w:pPr>
        <w:numPr>
          <w:ilvl w:val="0"/>
          <w:numId w:val="13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己糖醛酸的测定（咔唑法） </w:t>
      </w:r>
    </w:p>
    <w:p>
      <w:pPr>
        <w:numPr>
          <w:ilvl w:val="0"/>
          <w:numId w:val="13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总硫酸基测定（联苯胺法） </w:t>
      </w:r>
    </w:p>
    <w:p>
      <w:pPr>
        <w:numPr>
          <w:ilvl w:val="0"/>
          <w:numId w:val="13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重量法 </w:t>
      </w:r>
    </w:p>
    <w:p>
      <w:pPr>
        <w:numPr>
          <w:ilvl w:val="0"/>
          <w:numId w:val="139"/>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4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黏多糖分析 </w:t>
      </w:r>
    </w:p>
    <w:p>
      <w:pPr>
        <w:numPr>
          <w:ilvl w:val="0"/>
          <w:numId w:val="14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含量测定——生物测定 </w:t>
      </w:r>
    </w:p>
    <w:p>
      <w:pPr>
        <w:numPr>
          <w:ilvl w:val="0"/>
          <w:numId w:val="14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抗凝血活性 </w:t>
      </w:r>
    </w:p>
    <w:p>
      <w:pPr>
        <w:numPr>
          <w:ilvl w:val="0"/>
          <w:numId w:val="14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活化部分凝血活酶时间（APTT） </w:t>
      </w:r>
    </w:p>
    <w:p>
      <w:pPr>
        <w:numPr>
          <w:ilvl w:val="0"/>
          <w:numId w:val="14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凝血酶时间（TT） </w:t>
      </w:r>
    </w:p>
    <w:p>
      <w:pPr>
        <w:numPr>
          <w:ilvl w:val="0"/>
          <w:numId w:val="14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含量测定——分光光度法 </w:t>
      </w:r>
    </w:p>
    <w:p>
      <w:pPr>
        <w:numPr>
          <w:ilvl w:val="0"/>
          <w:numId w:val="144"/>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45"/>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真菌多糖分析 </w:t>
      </w:r>
    </w:p>
    <w:p>
      <w:pPr>
        <w:numPr>
          <w:ilvl w:val="0"/>
          <w:numId w:val="146"/>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鉴别 </w:t>
      </w:r>
    </w:p>
    <w:p>
      <w:pPr>
        <w:numPr>
          <w:ilvl w:val="0"/>
          <w:numId w:val="14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葡萄糖的鉴别反应 </w:t>
      </w:r>
    </w:p>
    <w:p>
      <w:pPr>
        <w:numPr>
          <w:ilvl w:val="0"/>
          <w:numId w:val="147"/>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蛋白质的鉴别反应 </w:t>
      </w:r>
    </w:p>
    <w:p>
      <w:pPr>
        <w:numPr>
          <w:ilvl w:val="0"/>
          <w:numId w:val="148"/>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numPr>
          <w:ilvl w:val="0"/>
          <w:numId w:val="149"/>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单糖检查 </w:t>
      </w:r>
    </w:p>
    <w:p>
      <w:pPr>
        <w:numPr>
          <w:ilvl w:val="0"/>
          <w:numId w:val="149"/>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蛋白质检查 </w:t>
      </w:r>
    </w:p>
    <w:p>
      <w:pPr>
        <w:numPr>
          <w:ilvl w:val="0"/>
          <w:numId w:val="150"/>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糖类药品检验</w:t>
      </w:r>
    </w:p>
    <w:p>
      <w:pPr>
        <w:numPr>
          <w:ilvl w:val="0"/>
          <w:numId w:val="151"/>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真菌多糖分析 </w:t>
      </w:r>
    </w:p>
    <w:p>
      <w:pPr>
        <w:numPr>
          <w:ilvl w:val="0"/>
          <w:numId w:val="152"/>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含量测定 </w:t>
      </w:r>
    </w:p>
    <w:p>
      <w:pPr>
        <w:numPr>
          <w:ilvl w:val="0"/>
          <w:numId w:val="15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香菇多糖 </w:t>
      </w:r>
    </w:p>
    <w:p>
      <w:pPr>
        <w:numPr>
          <w:ilvl w:val="0"/>
          <w:numId w:val="153"/>
        </w:numPr>
        <w:tabs>
          <w:tab w:val="clear" w:pos="720"/>
        </w:tabs>
        <w:spacing w:line="400" w:lineRule="exact"/>
        <w:ind w:left="0"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灵芝多糖</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1.多糖类药物的分析。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2.试比较几种多糖类药物。</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3.预习下一节</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白秀峰、张怡轩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tbl>
      <w:tblPr>
        <w:tblStyle w:val="13"/>
        <w:tblpPr w:leftFromText="180" w:rightFromText="180" w:vertAnchor="text" w:horzAnchor="margin" w:tblpX="-86" w:tblpY="157"/>
        <w:tblW w:w="9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2060"/>
        <w:gridCol w:w="1150"/>
        <w:gridCol w:w="1130"/>
        <w:gridCol w:w="1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bookmarkStart w:id="12" w:name="OLE_LINK14"/>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54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十一</w:t>
            </w:r>
            <w:r>
              <w:rPr>
                <w:rFonts w:hint="default" w:ascii="Times New Roman" w:hAnsi="Times New Roman" w:cs="Times New Roman" w:eastAsiaTheme="minorEastAsia"/>
                <w:color w:val="000000" w:themeColor="text1"/>
                <w:sz w:val="24"/>
                <w:szCs w:val="32"/>
                <w14:textFill>
                  <w14:solidFill>
                    <w14:schemeClr w14:val="tx1"/>
                  </w14:solidFill>
                </w14:textFill>
              </w:rPr>
              <w:t xml:space="preserve">章 </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酶</w:t>
            </w:r>
            <w:r>
              <w:rPr>
                <w:rFonts w:hint="default" w:ascii="Times New Roman" w:hAnsi="Times New Roman" w:cs="Times New Roman" w:eastAsiaTheme="minorEastAsia"/>
                <w:color w:val="000000" w:themeColor="text1"/>
                <w:sz w:val="24"/>
                <w:szCs w:val="32"/>
                <w14:textFill>
                  <w14:solidFill>
                    <w14:schemeClr w14:val="tx1"/>
                  </w14:solidFill>
                </w14:textFill>
              </w:rPr>
              <w:t>类药物的分析</w:t>
            </w:r>
          </w:p>
        </w:tc>
        <w:tc>
          <w:tcPr>
            <w:tcW w:w="115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25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3</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29</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20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5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1</w:t>
            </w:r>
          </w:p>
        </w:tc>
        <w:tc>
          <w:tcPr>
            <w:tcW w:w="113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120"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bookmarkEnd w:id="12"/>
    </w:tbl>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概述</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1、了解酶的特性与分类</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2、理解酶的催化机理与活力单位</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3、熟悉影响酶催化反应速度的因素</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酶类药物的鉴别与检查</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1、熟悉酶类药物的鉴别试验</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2、了解酶类药物的检查方法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酶类药物的含量测定与检测方法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1、理解酶类药物的含量测定的原理</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2、熟悉酶反应的检测方法</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药用酶的质量分析</w:t>
      </w:r>
    </w:p>
    <w:p>
      <w:pPr>
        <w:spacing w:line="360" w:lineRule="exact"/>
        <w:ind w:firstLine="630" w:firstLineChars="3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了解抑肽酶、尿激酶等质量分析方法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【重点和难点】</w:t>
      </w:r>
    </w:p>
    <w:p>
      <w:pPr>
        <w:spacing w:line="400" w:lineRule="exact"/>
        <w:ind w:left="315" w:hanging="315" w:hangingChars="1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1、掌握多肽类药物的分析方法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2、熟悉基因工程药物</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3、了解几种基因工程药物的质量分析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一、细胞水平的调节：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1.酶在细胞内的分隔分布、调节作用点、关键酶与限速酶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2.酶的别构调节与化学修饰调节的概念、机制特点和生理意义</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二、激素水平的调节：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1.两类激素的两种调节机制：水溶性激素通过产生第二信使发挥作用。脂溶性</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激素直接进入细胞内发挥调节作用。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2.胰岛素作用机制初述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三、整体水平的综合调节：以饥饿和应激为例说明神经激素的综合调节</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ind w:firstLine="413"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相关教学幻灯片，展示生活中常见的酶类物质，由此引出本节课讲授的具体内容：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1、概述</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酶的特性与分类：</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酶的化学组成与催化反应机理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酶催化反应动力学</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2、酶类药物的鉴别</w:t>
      </w:r>
    </w:p>
    <w:p>
      <w:pPr>
        <w:numPr>
          <w:ilvl w:val="0"/>
          <w:numId w:val="154"/>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酶活性试验 </w:t>
      </w:r>
    </w:p>
    <w:p>
      <w:pPr>
        <w:numPr>
          <w:ilvl w:val="0"/>
          <w:numId w:val="155"/>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某些酶类能与特异性底物产生特异反应用于鉴别 </w:t>
      </w:r>
    </w:p>
    <w:p>
      <w:pPr>
        <w:numPr>
          <w:ilvl w:val="0"/>
          <w:numId w:val="156"/>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沉淀试验 </w:t>
      </w:r>
    </w:p>
    <w:p>
      <w:pPr>
        <w:numPr>
          <w:ilvl w:val="0"/>
          <w:numId w:val="157"/>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某些酶遇到有机酸或重金属盐溶液出现沉淀反应 </w:t>
      </w:r>
    </w:p>
    <w:p>
      <w:pPr>
        <w:numPr>
          <w:ilvl w:val="0"/>
          <w:numId w:val="158"/>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动物试验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酶类药物的检查</w:t>
      </w:r>
    </w:p>
    <w:p>
      <w:pPr>
        <w:numPr>
          <w:ilvl w:val="0"/>
          <w:numId w:val="15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脂肪含量限度检查 </w:t>
      </w:r>
    </w:p>
    <w:p>
      <w:pPr>
        <w:numPr>
          <w:ilvl w:val="0"/>
          <w:numId w:val="160"/>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胰酶等来自动物胰脏的蛋白酶，产品需进行脂肪含量限度检查 </w:t>
      </w:r>
    </w:p>
    <w:p>
      <w:pPr>
        <w:numPr>
          <w:ilvl w:val="0"/>
          <w:numId w:val="16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其他酶类含量限度检查 </w:t>
      </w:r>
    </w:p>
    <w:p>
      <w:pPr>
        <w:numPr>
          <w:ilvl w:val="0"/>
          <w:numId w:val="162"/>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胰蛋白酶中的糜蛋白酶，糜蛋白酶中的胰蛋白酶含量限度检查 </w:t>
      </w:r>
    </w:p>
    <w:p>
      <w:pPr>
        <w:numPr>
          <w:ilvl w:val="0"/>
          <w:numId w:val="163"/>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大分子活性物质含量限度检查 </w:t>
      </w:r>
    </w:p>
    <w:p>
      <w:pPr>
        <w:numPr>
          <w:ilvl w:val="0"/>
          <w:numId w:val="164"/>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尿激酶中凝血质样活性物质 </w:t>
      </w:r>
    </w:p>
    <w:p>
      <w:pPr>
        <w:numPr>
          <w:ilvl w:val="0"/>
          <w:numId w:val="165"/>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酶类药物含量测定原理</w:t>
      </w:r>
    </w:p>
    <w:p>
      <w:pPr>
        <w:numPr>
          <w:ilvl w:val="0"/>
          <w:numId w:val="166"/>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终点法 </w:t>
      </w:r>
    </w:p>
    <w:p>
      <w:pPr>
        <w:numPr>
          <w:ilvl w:val="0"/>
          <w:numId w:val="167"/>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酶促反应使被检测物质定量转化，转化完全后，测定底物、产物或辅酶物质的变化，进而计算酶活力的方法 </w:t>
      </w:r>
    </w:p>
    <w:p>
      <w:pPr>
        <w:numPr>
          <w:ilvl w:val="0"/>
          <w:numId w:val="168"/>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速度法 </w:t>
      </w:r>
    </w:p>
    <w:p>
      <w:pPr>
        <w:numPr>
          <w:ilvl w:val="0"/>
          <w:numId w:val="16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根据酶促反应的速度测定酶浓度的方法，通常底物过剩 </w:t>
      </w:r>
    </w:p>
    <w:p>
      <w:pPr>
        <w:numPr>
          <w:ilvl w:val="0"/>
          <w:numId w:val="170"/>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酶类药物含量测定方法</w:t>
      </w:r>
    </w:p>
    <w:p>
      <w:pPr>
        <w:numPr>
          <w:ilvl w:val="0"/>
          <w:numId w:val="17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容量分析法 </w:t>
      </w:r>
    </w:p>
    <w:p>
      <w:pPr>
        <w:numPr>
          <w:ilvl w:val="0"/>
          <w:numId w:val="17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气体检测法 </w:t>
      </w:r>
    </w:p>
    <w:p>
      <w:pPr>
        <w:numPr>
          <w:ilvl w:val="0"/>
          <w:numId w:val="17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分光光度法 </w:t>
      </w:r>
    </w:p>
    <w:p>
      <w:pPr>
        <w:numPr>
          <w:ilvl w:val="0"/>
          <w:numId w:val="17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酶的比活力测定 </w:t>
      </w:r>
    </w:p>
    <w:p>
      <w:pPr>
        <w:numPr>
          <w:ilvl w:val="0"/>
          <w:numId w:val="172"/>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尿激酶的质量分析</w:t>
      </w:r>
    </w:p>
    <w:p>
      <w:pPr>
        <w:numPr>
          <w:ilvl w:val="0"/>
          <w:numId w:val="173"/>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性状 </w:t>
      </w:r>
    </w:p>
    <w:p>
      <w:pPr>
        <w:numPr>
          <w:ilvl w:val="0"/>
          <w:numId w:val="174"/>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白色非结晶状粉末 </w:t>
      </w:r>
    </w:p>
    <w:p>
      <w:pPr>
        <w:numPr>
          <w:ilvl w:val="0"/>
          <w:numId w:val="175"/>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鉴别 </w:t>
      </w:r>
    </w:p>
    <w:p>
      <w:pPr>
        <w:numPr>
          <w:ilvl w:val="0"/>
          <w:numId w:val="176"/>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牛纤维蛋白原溶液+牛纤维蛋白溶酶原溶液+牛凝血酶溶液 </w:t>
      </w:r>
    </w:p>
    <w:p>
      <w:pPr>
        <w:numPr>
          <w:ilvl w:val="0"/>
          <w:numId w:val="176"/>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0.9%氯化钠溶液作空白 </w:t>
      </w:r>
    </w:p>
    <w:p>
      <w:pPr>
        <w:numPr>
          <w:ilvl w:val="0"/>
          <w:numId w:val="177"/>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尿激酶的质量分析</w:t>
      </w:r>
    </w:p>
    <w:p>
      <w:pPr>
        <w:numPr>
          <w:ilvl w:val="0"/>
          <w:numId w:val="178"/>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溶液澄清度与颜色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分子组分比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干燥失重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drawing>
          <wp:anchor distT="0" distB="0" distL="114300" distR="114300" simplePos="0" relativeHeight="251702272" behindDoc="0" locked="0" layoutInCell="1" allowOverlap="1">
            <wp:simplePos x="0" y="0"/>
            <wp:positionH relativeFrom="column">
              <wp:posOffset>2392680</wp:posOffset>
            </wp:positionH>
            <wp:positionV relativeFrom="paragraph">
              <wp:posOffset>144145</wp:posOffset>
            </wp:positionV>
            <wp:extent cx="1813560" cy="1476375"/>
            <wp:effectExtent l="0" t="0" r="15240" b="9525"/>
            <wp:wrapNone/>
            <wp:docPr id="54" name="图片 173" descr="凝血过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173" descr="凝血过程.jpg"/>
                    <pic:cNvPicPr>
                      <a:picLocks noChangeAspect="1"/>
                    </pic:cNvPicPr>
                  </pic:nvPicPr>
                  <pic:blipFill>
                    <a:blip r:embed="rId53"/>
                    <a:stretch>
                      <a:fillRect/>
                    </a:stretch>
                  </pic:blipFill>
                  <pic:spPr>
                    <a:xfrm>
                      <a:off x="0" y="0"/>
                      <a:ext cx="1813560" cy="1476375"/>
                    </a:xfrm>
                    <a:prstGeom prst="rect">
                      <a:avLst/>
                    </a:prstGeom>
                    <a:noFill/>
                    <a:ln w="9525">
                      <a:noFill/>
                    </a:ln>
                  </pic:spPr>
                </pic:pic>
              </a:graphicData>
            </a:graphic>
          </wp:anchor>
        </w:drawing>
      </w:r>
      <w:r>
        <w:rPr>
          <w:rFonts w:hint="default" w:ascii="Times New Roman" w:hAnsi="Times New Roman" w:cs="Times New Roman" w:eastAsiaTheme="minorEastAsia"/>
          <w:color w:val="000000" w:themeColor="text1"/>
          <w14:textFill>
            <w14:solidFill>
              <w14:schemeClr w14:val="tx1"/>
            </w14:solidFill>
          </w14:textFill>
        </w:rPr>
        <w:t xml:space="preserve">异常毒性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热源 </w:t>
      </w:r>
    </w:p>
    <w:p>
      <w:pPr>
        <w:numPr>
          <w:ilvl w:val="0"/>
          <w:numId w:val="179"/>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凝血质样活性物质 </w:t>
      </w:r>
    </w:p>
    <w:p>
      <w:pPr>
        <w:numPr>
          <w:ilvl w:val="0"/>
          <w:numId w:val="180"/>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尿激酶的质量分析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numPr>
          <w:ilvl w:val="0"/>
          <w:numId w:val="181"/>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效价测定 </w:t>
      </w:r>
    </w:p>
    <w:p>
      <w:pPr>
        <w:numPr>
          <w:ilvl w:val="0"/>
          <w:numId w:val="182"/>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比活测定 </w:t>
      </w:r>
    </w:p>
    <w:p>
      <w:pPr>
        <w:numPr>
          <w:ilvl w:val="0"/>
          <w:numId w:val="183"/>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气泡上升法 </w:t>
      </w:r>
    </w:p>
    <w:p>
      <w:pPr>
        <w:numPr>
          <w:ilvl w:val="0"/>
          <w:numId w:val="184"/>
        </w:numPr>
        <w:tabs>
          <w:tab w:val="left" w:pos="0"/>
          <w:tab w:val="clear" w:pos="720"/>
        </w:tabs>
        <w:spacing w:line="400" w:lineRule="exact"/>
        <w:ind w:left="-2" w:leftChars="-1" w:firstLine="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蛋白含量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氮测定法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计算比活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bookmarkStart w:id="13" w:name="OLE_LINK23"/>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1.多肽类药物的分析。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2.试比较几种多肽类药物。</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3.复习基因工程药物</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张怡轩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bookmarkEnd w:id="13"/>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tbl>
      <w:tblPr>
        <w:tblStyle w:val="13"/>
        <w:tblpPr w:leftFromText="180" w:rightFromText="180" w:vertAnchor="text" w:horzAnchor="margin" w:tblpX="-86" w:tblpY="157"/>
        <w:tblW w:w="903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2060"/>
        <w:gridCol w:w="1150"/>
        <w:gridCol w:w="1130"/>
        <w:gridCol w:w="1120"/>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bookmarkStart w:id="14" w:name="OLE_LINK16"/>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454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十二</w:t>
            </w:r>
            <w:r>
              <w:rPr>
                <w:rFonts w:hint="default" w:ascii="Times New Roman" w:hAnsi="Times New Roman" w:cs="Times New Roman" w:eastAsiaTheme="minorEastAsia"/>
                <w:color w:val="000000" w:themeColor="text1"/>
                <w:sz w:val="24"/>
                <w:szCs w:val="32"/>
                <w14:textFill>
                  <w14:solidFill>
                    <w14:schemeClr w14:val="tx1"/>
                  </w14:solidFill>
                </w14:textFill>
              </w:rPr>
              <w:t xml:space="preserve">章 </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细胞因子类</w:t>
            </w:r>
            <w:r>
              <w:rPr>
                <w:rFonts w:hint="default" w:ascii="Times New Roman" w:hAnsi="Times New Roman" w:cs="Times New Roman" w:eastAsiaTheme="minorEastAsia"/>
                <w:color w:val="000000" w:themeColor="text1"/>
                <w:sz w:val="24"/>
                <w:szCs w:val="32"/>
                <w14:textFill>
                  <w14:solidFill>
                    <w14:schemeClr w14:val="tx1"/>
                  </w14:solidFill>
                </w14:textFill>
              </w:rPr>
              <w:t>药物的分析</w:t>
            </w:r>
          </w:p>
        </w:tc>
        <w:tc>
          <w:tcPr>
            <w:tcW w:w="115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250"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3</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29</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206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50"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1</w:t>
            </w:r>
          </w:p>
        </w:tc>
        <w:tc>
          <w:tcPr>
            <w:tcW w:w="113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120"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bookmarkEnd w:id="14"/>
    </w:tbl>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360" w:lineRule="exact"/>
        <w:ind w:left="0" w:leftChars="0" w:firstLine="0" w:firstLineChars="0"/>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1.掌握</w:t>
      </w:r>
      <w:bookmarkStart w:id="15" w:name="OLE_LINK19"/>
      <w:r>
        <w:rPr>
          <w:rFonts w:hint="default" w:ascii="Times New Roman" w:hAnsi="Times New Roman" w:cs="Times New Roman" w:eastAsiaTheme="minorEastAsia"/>
          <w:szCs w:val="21"/>
        </w:rPr>
        <w:t>细胞因子的概念、分类和作用，细胞因子类药物质量控制要点</w:t>
      </w:r>
      <w:bookmarkEnd w:id="15"/>
      <w:r>
        <w:rPr>
          <w:rFonts w:hint="default" w:ascii="Times New Roman" w:hAnsi="Times New Roman" w:cs="Times New Roman" w:eastAsiaTheme="minorEastAsia"/>
          <w:szCs w:val="21"/>
        </w:rPr>
        <w:t>，</w:t>
      </w:r>
      <w:bookmarkStart w:id="16" w:name="OLE_LINK20"/>
      <w:r>
        <w:rPr>
          <w:rFonts w:hint="default" w:ascii="Times New Roman" w:hAnsi="Times New Roman" w:cs="Times New Roman" w:eastAsiaTheme="minorEastAsia"/>
          <w:szCs w:val="21"/>
        </w:rPr>
        <w:t>常用的细胞因子类药物质量监控项目和检测原理</w:t>
      </w:r>
      <w:bookmarkEnd w:id="16"/>
      <w:r>
        <w:rPr>
          <w:rFonts w:hint="default" w:ascii="Times New Roman" w:hAnsi="Times New Roman" w:cs="Times New Roman" w:eastAsiaTheme="minorEastAsia"/>
          <w:szCs w:val="21"/>
        </w:rPr>
        <w:t>。</w:t>
      </w:r>
    </w:p>
    <w:p>
      <w:pPr>
        <w:spacing w:line="360" w:lineRule="exact"/>
        <w:ind w:left="0" w:leftChars="0" w:firstLine="0" w:firstLineChars="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2.熟悉常见的细胞因子类药物鉴别、检查、含量和活性测定方法。</w:t>
      </w:r>
    </w:p>
    <w:p>
      <w:pPr>
        <w:spacing w:line="360" w:lineRule="exact"/>
        <w:ind w:left="0" w:leftChars="0" w:firstLine="0" w:firstLineChars="0"/>
        <w:rPr>
          <w:rFonts w:hint="default" w:ascii="Times New Roman" w:hAnsi="Times New Roman" w:cs="Times New Roman" w:eastAsiaTheme="minorEastAsia"/>
          <w:szCs w:val="21"/>
          <w:lang w:val="en-US" w:eastAsia="zh-CN"/>
        </w:rPr>
      </w:pPr>
      <w:r>
        <w:rPr>
          <w:rFonts w:hint="default" w:ascii="Times New Roman" w:hAnsi="Times New Roman" w:cs="Times New Roman" w:eastAsiaTheme="minorEastAsia"/>
          <w:szCs w:val="21"/>
        </w:rPr>
        <w:t>3.了解细胞因子类药物的临床应用。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【重点和难点】</w:t>
      </w:r>
    </w:p>
    <w:p>
      <w:pPr>
        <w:spacing w:line="400" w:lineRule="exact"/>
        <w:ind w:left="315" w:hanging="315" w:hangingChars="1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w:t>
      </w:r>
      <w:r>
        <w:rPr>
          <w:rFonts w:hint="default" w:ascii="Times New Roman" w:hAnsi="Times New Roman" w:cs="Times New Roman" w:eastAsiaTheme="minorEastAsia"/>
          <w:szCs w:val="21"/>
        </w:rPr>
        <w:t>细胞因子的概念、分类和作用，细胞因子类药物质量控制要点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w:t>
      </w:r>
      <w:r>
        <w:rPr>
          <w:rFonts w:hint="default" w:ascii="Times New Roman" w:hAnsi="Times New Roman" w:cs="Times New Roman" w:eastAsiaTheme="minorEastAsia"/>
          <w:szCs w:val="21"/>
        </w:rPr>
        <w:t>常见的细胞因子类药物鉴别、检查、含量和活性测定方法</w:t>
      </w:r>
    </w:p>
    <w:p>
      <w:pPr>
        <w:spacing w:line="400" w:lineRule="exact"/>
        <w:rPr>
          <w:rFonts w:hint="default" w:ascii="Times New Roman" w:hAnsi="Times New Roman" w:cs="Times New Roman" w:eastAsiaTheme="minorEastAsia"/>
          <w:color w:val="000000" w:themeColor="text1"/>
          <w:lang w:val="en-US" w:eastAsia="zh-CN"/>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w:t>
      </w:r>
      <w:r>
        <w:rPr>
          <w:rFonts w:hint="default" w:ascii="Times New Roman" w:hAnsi="Times New Roman" w:cs="Times New Roman" w:eastAsiaTheme="minorEastAsia"/>
          <w:szCs w:val="21"/>
        </w:rPr>
        <w:t>常用的细胞因子类药物质量监控项目和检测原理</w:t>
      </w:r>
      <w:r>
        <w:rPr>
          <w:rFonts w:hint="default" w:ascii="Times New Roman" w:hAnsi="Times New Roman" w:cs="Times New Roman" w:eastAsiaTheme="minorEastAsia"/>
          <w:szCs w:val="21"/>
          <w:lang w:val="en-US" w:eastAsia="zh-CN"/>
        </w:rPr>
        <w:t>及临床应用特点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numPr>
          <w:ilvl w:val="-1"/>
          <w:numId w:val="0"/>
        </w:numPr>
        <w:adjustRightInd w:val="0"/>
        <w:snapToGrid w:val="0"/>
        <w:spacing w:line="400" w:lineRule="exact"/>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第一节-细胞因子了类药物发展历程概述</w:t>
      </w:r>
    </w:p>
    <w:p>
      <w:pPr>
        <w:numPr>
          <w:ilvl w:val="-1"/>
          <w:numId w:val="0"/>
        </w:numPr>
        <w:adjustRightInd w:val="0"/>
        <w:snapToGrid w:val="0"/>
        <w:spacing w:line="400" w:lineRule="exact"/>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第二节-细胞因子了类药物的鉴别和检查</w:t>
      </w:r>
    </w:p>
    <w:p>
      <w:pPr>
        <w:numPr>
          <w:ilvl w:val="-1"/>
          <w:numId w:val="0"/>
        </w:numPr>
        <w:adjustRightInd w:val="0"/>
        <w:snapToGrid w:val="0"/>
        <w:spacing w:line="400" w:lineRule="exact"/>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第三节-细胞因子了类药物的含量和活性检测</w:t>
      </w:r>
    </w:p>
    <w:p>
      <w:pPr>
        <w:numPr>
          <w:ilvl w:val="-1"/>
          <w:numId w:val="0"/>
        </w:numPr>
        <w:adjustRightInd w:val="0"/>
        <w:snapToGrid w:val="0"/>
        <w:spacing w:line="400" w:lineRule="exact"/>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第四节-应用实例</w:t>
      </w:r>
    </w:p>
    <w:p>
      <w:pPr>
        <w:widowControl w:val="0"/>
        <w:numPr>
          <w:ilvl w:val="0"/>
          <w:numId w:val="0"/>
        </w:numPr>
        <w:adjustRightInd w:val="0"/>
        <w:snapToGrid w:val="0"/>
        <w:spacing w:line="400" w:lineRule="exact"/>
        <w:jc w:val="both"/>
        <w:rPr>
          <w:rFonts w:hint="default" w:ascii="Times New Roman" w:hAnsi="Times New Roman" w:cs="Times New Roman" w:eastAsiaTheme="minorEastAsia"/>
          <w:color w:val="000000" w:themeColor="text1"/>
          <w:szCs w:val="21"/>
          <w:lang w:val="en-US" w:eastAsia="zh-CN"/>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kern w:val="0"/>
          <w:szCs w:val="2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numPr>
          <w:ilvl w:val="-1"/>
          <w:numId w:val="0"/>
        </w:numPr>
        <w:adjustRightInd w:val="0"/>
        <w:snapToGrid w:val="0"/>
        <w:spacing w:line="400" w:lineRule="exact"/>
        <w:rPr>
          <w:rFonts w:hint="default" w:ascii="Times New Roman" w:hAnsi="Times New Roman" w:cs="Times New Roman" w:eastAsiaTheme="minorEastAsia"/>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color w:val="000000" w:themeColor="text1"/>
          <w:szCs w:val="21"/>
          <w:lang w:val="en-US" w:eastAsia="zh-CN"/>
          <w14:textFill>
            <w14:solidFill>
              <w14:schemeClr w14:val="tx1"/>
            </w14:solidFill>
          </w14:textFill>
        </w:rPr>
        <w:t>第一节 细胞因子了类药物发展历程概述</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一、</w:t>
      </w:r>
      <w:bookmarkStart w:id="17" w:name="OLE_LINK21"/>
      <w:bookmarkStart w:id="18" w:name="OLE_LINK22"/>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细胞因子的概念</w:t>
      </w:r>
      <w:bookmarkEnd w:id="17"/>
      <w:r>
        <w:rPr>
          <w:rFonts w:hint="default" w:ascii="Times New Roman" w:hAnsi="Times New Roman" w:cs="Times New Roman" w:eastAsiaTheme="minorEastAsia"/>
          <w:b w:val="0"/>
          <w:bCs/>
          <w:color w:val="000000" w:themeColor="text1"/>
          <w:kern w:val="0"/>
          <w:szCs w:val="21"/>
          <w14:textFill>
            <w14:solidFill>
              <w14:schemeClr w14:val="tx1"/>
            </w14:solidFill>
          </w14:textFill>
        </w:rPr>
        <w:t>、分类</w:t>
      </w:r>
      <w:bookmarkEnd w:id="18"/>
      <w:r>
        <w:rPr>
          <w:rFonts w:hint="default" w:ascii="Times New Roman" w:hAnsi="Times New Roman" w:cs="Times New Roman" w:eastAsiaTheme="minorEastAsia"/>
          <w:b w:val="0"/>
          <w:bCs/>
          <w:color w:val="000000" w:themeColor="text1"/>
          <w:kern w:val="0"/>
          <w:szCs w:val="21"/>
          <w14:textFill>
            <w14:solidFill>
              <w14:schemeClr w14:val="tx1"/>
            </w14:solidFill>
          </w14:textFill>
        </w:rPr>
        <w:t>和作用</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一）</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细胞因子的概念</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细胞因子(cytokine)是由免疫细胞以及组织细胞分泌在细胞间发挥相互作用的一类小分子可溶性多肽蛋白，它们通过与靶细胞表面的细胞因子受体特异结合，发挥生物学效应</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在正常情况下，细胞因子参与调节细胞的生理、生长和分化过程，提高机体的免疫力，调控免疫应答，维持机体的生理平衡，抵抗病原微生物的侵袭，防止肿瘤发生等过程。在异常情况下，细胞因子也可能引起发烧、炎症、休克等病理过程。细胞因子的作用具有网络性特点，即每种细胞因子可作用于多种细胞；每种细胞可受多种细胞因子的调节；不同细胞因子之间具有相互协同或相互制约的作用，由此构成了复杂的细胞因子免疫调节网络。</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spacing w:line="360" w:lineRule="exact"/>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二）</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细胞因子的分类</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通常由淋巴细胞、单核细胞、成纤维细胞、内皮细胞等相关细胞产生。从分子结构来看，细胞因子都是小分子的多肽，多数由100个左右氨基酸组成。从功能及免疫学关系，可将细胞因子分类为：①具有抗病毒活性的细胞因子，如干扰素(interferon,IFN);②具有免疫调节活性的细胞因子，包括白细胞介素(interleukin,IL)类的IL-2、IL-4、IL-5、IL-7、I-9、IL-10、IL-12,以及β型转化生长因子(transforming growth factorβ,TGFβ);③具有炎症介导活性的细胞因子，包括肿瘤坏死因子(tumor nec-rosis factor,TNF)及IL-1、IL-6、IL-8为代表的结构相似的小分子趋化因子；④具有造血生长活性的细胞因子，包括IL-3、IL-11、集落刺激因子(colony -stimulating factor,GSF)、促红细胞生成素(erythroprotein,EPO)、干细胞因子(stem cell factor,CSF)、血小板生成素(thrombopoietin)和白血病抑制因子(leukemia inhibitory factor,LIF);⑤与血管生长有关的细胞生长因子，包括血管内皮生长因子(vascular endothelial growth factor,VEGF)、成纤维细胞生长因子(fibroblast growth factor,FGF)、血小板源生长因子(platelet -derived growth factor,PDGF)等，它们促进肿瘤新生血管的生长。</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numPr>
          <w:ilvl w:val="-1"/>
          <w:numId w:val="0"/>
        </w:numPr>
        <w:spacing w:line="360" w:lineRule="exact"/>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三）</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细胞因子的</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作用</w:t>
      </w:r>
    </w:p>
    <w:p>
      <w:pPr>
        <w:numPr>
          <w:ilvl w:val="0"/>
          <w:numId w:val="0"/>
        </w:num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细胞因子的研究具有非常重要的理论意义，它有助于阐明分子水平的免疫调节机理，有助于疾病的预防、诊断和治疗。利用基因工程技术生产的重组细胞因子在治疗肿瘤、感</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染、炎症、造血功能障碍等方面具有良好的疗效，具有广阔的应用前景。</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keepNext w:val="0"/>
        <w:keepLines w:val="0"/>
        <w:widowControl/>
        <w:suppressLineNumbers w:val="0"/>
        <w:spacing w:line="360" w:lineRule="exact"/>
        <w:jc w:val="left"/>
        <w:rPr>
          <w:rFonts w:hint="default" w:ascii="Times New Roman" w:hAnsi="Times New Roman" w:cs="Times New Roman" w:eastAsiaTheme="minorEastAsia"/>
          <w:b w:val="0"/>
          <w:bCs/>
          <w:sz w:val="21"/>
          <w:szCs w:val="21"/>
        </w:rPr>
      </w:pPr>
      <w:r>
        <w:rPr>
          <w:rFonts w:hint="default" w:ascii="Times New Roman" w:hAnsi="Times New Roman" w:cs="Times New Roman" w:eastAsiaTheme="minorEastAsia"/>
          <w:b w:val="0"/>
          <w:bCs/>
          <w:color w:val="000000"/>
          <w:kern w:val="0"/>
          <w:sz w:val="21"/>
          <w:szCs w:val="21"/>
          <w:lang w:val="en-US" w:eastAsia="zh-CN" w:bidi="ar"/>
        </w:rPr>
        <w:t>二、细胞因子类药物的临床应用</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目前，国内市场上主要的国产重组细胞因子类药物包括IFN类、L类、CSF类、重组表皮生长因子(rcombinant endothelial growth factor,rEGF)、阻断VEGF受体2(VECFR2)和PDGF受体β(PDGFRβ)等十几类。重组细胞因子作为药物具有很多优越之处，例如细胞因子为人体自身成分，可调节机体的生理过程和提高免疫功能，对治疗肿瘤、造血障碍、感染、创伤、炎症等具有良好的疗效，而且很低剂量即可发挥作用，故副作用小，已经成为某些疑难病症不可缺少的治疗手段</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p>
    <w:p>
      <w:pPr>
        <w:numPr>
          <w:ilvl w:val="-1"/>
          <w:numId w:val="0"/>
        </w:numPr>
        <w:spacing w:line="360" w:lineRule="exact"/>
        <w:ind w:firstLine="0" w:firstLineChars="0"/>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1.</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细胞因子用于治疗各种疾病，如肿瘤、感染性疾病、造血功能障碍等</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p>
    <w:p>
      <w:pPr>
        <w:numPr>
          <w:ilvl w:val="-1"/>
          <w:numId w:val="0"/>
        </w:numPr>
        <w:spacing w:line="360" w:lineRule="exact"/>
        <w:ind w:firstLine="420" w:firstLineChars="200"/>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IFN-α主要用于治疗病毒性感染和肿瘤</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对再生障碍性贫血和AIDS亦有肯定疗效，用于骨髓移植后可使中性粒细胞尽快恢复，降低感染率。此外，应用EPO治疗肾性贫血取得了非常显著的疗效。</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numPr>
          <w:ilvl w:val="-1"/>
          <w:numId w:val="0"/>
        </w:numPr>
        <w:spacing w:line="360" w:lineRule="exact"/>
        <w:ind w:left="0" w:firstLine="0"/>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2.</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细胞因子抑制剂用于治疗炎症、自身免疫病、移植排斥、休克等</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p>
    <w:p>
      <w:pPr>
        <w:numPr>
          <w:ilvl w:val="-1"/>
          <w:numId w:val="0"/>
        </w:numPr>
        <w:spacing w:line="360" w:lineRule="exact"/>
        <w:ind w:left="0"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如类风湿关节炎的滑膜液中可发现IL-1、L-6、L-8、TNF-α水平明显高于正常人，而这些细胞因子均可促进炎症过程，使病情加重。抗TNF-α单克隆抗体可以减轻甚至阻断感染性休克的发生，IL-1受体拮抗剂对于炎症、自身免疫性疾病等具有较好的治疗效果。</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3.细胞因子可作为佐剂与疫苗共用,预防感染性疾病</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因子作为佐剂始于20世纪80年代初。许多实验都证明白细胞介素、干扰素以及肿瘤坏死因子具有较强的佐剂活性并且对降低副反应也有一定功效。应用IL-2作为佐剂与免疫原性弱的亚单位疫苗联合应用，可提高机体保护性免疫应答的水平。</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spacing w:line="360" w:lineRule="exact"/>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三、细胞因子类药物的质量控制要点</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临床使用的细胞因子类药物绝大多数采用基因工程手段制备，因此这类药物的质量控制遵从基因工程药物中人用重组DNA蛋白制品的质量控制要点。</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在制造方面的基本要求包括工程细胞的制备、发酵或细胞培养，目的蛋白质的提取和纯化、制剂等过程。应采用经过验证的生产工艺进行生产，并对生产工艺全过程进行控制。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在质量控制方面的基本要求为人用重组DNA蛋白制品的质量控制与分子大小、结构特征、质量属性复杂程度以及生产工艺相关。质量控制体系主要包括原、辅料质量控制，生产工艺和过程控制及制品检定等。应通过终产品检测、过程控制和工艺验证结合的方法，确保各类杂质已去除或降低至可接受水平。制品质量控制包括采用参比品和经验证的方法评估已知和(或)潜在制品相关物质和工艺相关物质，以及采用适宜的方法对制品鉴别、生物学活性、纯度和杂质等进行分析。</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(一)原材料的质量控制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原材料的质量控制主要是对目的基因、表达载体以及宿主细胞的检查，以确保编码药物的DNA序列的正确性，重组菌体或者细胞来自于单一克隆，所用质粒纯而稳定，从而保证产品质量的安全性和一致性。</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1.目的基因的质量控制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检测克隆基因的来源和特性、构建和鉴别情况、插入基因和表达载体两侧端控制区的核苷酸序列、限制性内切酶图谱测定、序列分析与稳定性监控等。检测所有与表达或产品质量相关的核苷酸序列，以及在生产过程中控制、提高表达水平的</w:t>
      </w: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各种措施。</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2.表达载体的质量控制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应检测有关载体的详细情况，如表达载体的起源、来源、遗传背景、遗传特性和结构(如复制和启动子来源或者抗生素抗性标记物)等，检测表达载体扩增、对宿主细胞的转化方法、生产用细胞克隆的筛选标准及其在宿主细胞中的位置、物理状态和遗传稳定性。</w:t>
      </w:r>
    </w:p>
    <w:p>
      <w:pPr>
        <w:numPr>
          <w:ilvl w:val="-1"/>
          <w:numId w:val="0"/>
        </w:numPr>
        <w:spacing w:line="360" w:lineRule="exact"/>
        <w:ind w:left="0" w:firstLine="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3.</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细胞库的质量控制</w:t>
      </w:r>
    </w:p>
    <w:p>
      <w:pPr>
        <w:numPr>
          <w:ilvl w:val="-1"/>
          <w:numId w:val="0"/>
        </w:numPr>
        <w:spacing w:line="360" w:lineRule="exact"/>
        <w:ind w:left="0"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通常包括主细胞库(mastercellbank,MCB)和工作细胞库(working cellbank,WCB)。主细胞库是由含目的基因表达载体转化的细胞种子经传代扩增制成的均一悬液，分装于单独容器中用于贮存。工作细胞库是从主细胞库经有限传代扩增制成的均一悬液，并分装于单独容器中用于贮存。所有的贮藏容器应在相同条件下妥善保管，一旦取出使用，不得再返回库内保存。</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(二)生产过程的质量控制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总体应做到生产工艺稳定可控，并有明确的过程控制参数，以确保制品安全有效、质量可控。生产工艺的确定应建立在对目标制品的质量属性、生产工艺的深人理解和全面设计的基础上。应根据研发早期到规模化生产的整个工艺周期的相关信息，确定原液和成品生产的关键步骤并制定可接受标准进行控制，同时对其他确保工艺一致性的环节进行控制。适当的工艺过程控制能够减少对原液和(或)成品常规检测的需求。</w:t>
      </w:r>
    </w:p>
    <w:p>
      <w:pPr>
        <w:numPr>
          <w:ilvl w:val="0"/>
          <w:numId w:val="185"/>
        </w:num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种子材料的质量控制</w:t>
      </w:r>
    </w:p>
    <w:p>
      <w:pPr>
        <w:numPr>
          <w:ilvl w:val="-1"/>
          <w:numId w:val="0"/>
        </w:num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对种予材料的来源、方式、保存和预计使用寿命,应检测在保存和复苏条件下，宿主载体表达系统的稳定性证据。采用新的种子批时，应重新做全部鉴定。</w:t>
      </w:r>
    </w:p>
    <w:p>
      <w:pPr>
        <w:numPr>
          <w:ilvl w:val="0"/>
          <w:numId w:val="185"/>
        </w:num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培养过程的质量控制</w:t>
      </w:r>
    </w:p>
    <w:p>
      <w:pPr>
        <w:numPr>
          <w:ilvl w:val="0"/>
          <w:numId w:val="0"/>
        </w:num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应测定被表达基因的完整性及宿主细胞长期培养后的基因型特征，如质粒拷贝数、宿主细胞中表达载体存留程度，含插入基因的载体的限制性内切酶图谱，必要时应做一次基因表达产物的核苷酸序列分析。</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(3) 在有限传代生产中，应限定生产过程中表达载体细菌或细胞传代(或细胞群体倍增) 的最高次数，最高限定代次的确定应基于细胞表型、基因型特性及其所表达基因的分子完整性、一致性，以及生产末期宿主细胞/载体的一致性研究，如质粒拷贝数及其在宿主细胞内的状态，证明上述特征的试验所涉及的传代范围应等于或超过规定的细胞最高限定代次。应根据生产过程中培养 、增殖和表达量一致性的研究资料，确定终止培养、废弃培养物以及摒弃收获物的技术参数。</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(4) 在连续培养生产中，应根据系统特点和稳定性以及培养期间产品一致性的研究资料，确定连续培养的最长周期以及培养周期全过程的监测要求，包括生产过程中制品变异体或其他培养参数未超过标准限度的数据。</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(5)  应对生产过程中使用的各种原材料进行质量控制，以保证这些原材料符合既定用途质量标准的要求。</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(6) 培养过程及收获时，应有灵敏的检测手段控制微生物污染。</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(7)  收获物后续加工中，批次的确定应清晰并易于追溯。</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(8) 应根据宿主载体系统的稳定性和制品特性等确定对细胞、制品进行再评估的时间</w:t>
      </w:r>
    </w:p>
    <w:p>
      <w:pPr>
        <w:spacing w:line="360" w:lineRule="exact"/>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间隔</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(三) 纯化过程的质量控制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生物制品的提取、纯化主要依赖于各种蛋白质分离技术。采用的分离纯化方法或技术，应能适用于规模化生产并保持稳定。应对纯化工艺中可能残存的有害物质进行严格检测，这些组分包括固定相或者流动相中的化学试剂、各类亲和色谱柱的脱落抗体或配基以及可能对目标制品关键质量属性造成影响的各种物质等。该类产品要有足够的生理和生物学实验数据资料，确认产品批次之间保持一致性。分离纯化过程；常用分级沉淀、超滤、电冰和色谱技术，其质量控制要求能保证除去污染病毒、核酸、宿主细胞杂蛋白、糖及其他杂质以及纯化过程中带人的其他有害化学物质及热原质，或者将这类杂质控制在规定限度以下。</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(四)最终产品的质量控制</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最终产品的质量控制项目，要根据纯化的工艺过程、产品的理化性质、用途等来确定。一般包括鉴别、纯度、活性、安全性、稳定性和一致性检测。任何一种单一的分析方法都无法满足对该类产品的检测要求。它需要综合生物化学、免疫学、微生物学、细胞生物学和分子生物学等多门学科的理论与技术，才能切实保证产品的安全有效。</w:t>
      </w:r>
    </w:p>
    <w:p>
      <w:pPr>
        <w:spacing w:line="36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最终产品的质量控制项目一般包括：</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1.N端15个氨基酸序列分析</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作为重组蛋白质和多肽的重要鉴别指标。</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2.肽图分析</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作为重组蛋白质与天然产品或参考品精密比较的手段。与氨基酸成分和序列分析合并研究，可作为蛋白质的精确鉴别。同种产品不同批次的肽图的一致性是工艺稳定性的验证指标，因此，肽图分析尤为重要。</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3.测定分子量</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应用还原型SDS-PAGE电泳在有适宜的分子量标记物(标准分子量)参比下，测出分子量，应与理论值基本一致(误差不超过20%)。对于分子量小于8000的肽类，测出的分子量不易准确，测定结果可作为鉴别试验。</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4.纯度分析</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用于表明制品的蛋白质纯度。通常使用以下两种方法。①HPLC法</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②非还原型SDS-PACE法：</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5.等电点</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基因工程药物的等电点往往是不均一的，即不是一个等电点，而是出现多条区带多个等电点。</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6.紫外光谱</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是基因工程药物的一个重要物理常数，对于一个蛋白质或多肽分子来说，它的最大吸收波长是固定的。不同批之间的紫外光谱应该是一致的。</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7、外源性DNA残留</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必须用敏感的方法测定来源于宿主细胞DNA残留量。一般认为每个剂量残余DNA含量小于100pg是安全的。对于用哺乳类动物细胞等生产的制品要求DNA残余量更低。</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8.其他外源性杂质</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测定项目要视制造工艺而定，如用单克隆抗体亲和色谱应测定IgG残余量；细胞培养中加入了小牛血清，也要测定其残余量等。在培养和纯化过程中所添加的可能有害物质，也应做相应的检测。</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9.效价测定</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采用国际或国家参考品，或经过国家检定机构认可的参比品，以体内或细胞法测定制品的生物学活性，并标明其活性单位。一般用免疫学方法测定的效价不能代替生物学效价，在测定效价的同时，应测定蛋白质含量，计算出特异比活性，以活性单位/mg蛋白表示。</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10.无菌、热原、细菌内毒素、异常毒性</w:t>
      </w:r>
      <w:r>
        <w:rPr>
          <w:rFonts w:hint="default" w:ascii="Times New Roman" w:hAnsi="Times New Roman" w:cs="Times New Roman" w:eastAsiaTheme="minorEastAsia"/>
          <w:b w:val="0"/>
          <w:bCs/>
          <w:color w:val="000000" w:themeColor="text1"/>
          <w:kern w:val="0"/>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Cs w:val="21"/>
          <w14:textFill>
            <w14:solidFill>
              <w14:schemeClr w14:val="tx1"/>
            </w14:solidFill>
          </w14:textFill>
        </w:rPr>
        <w:t>按《中国药典》(2020年版)通则检查。</w:t>
      </w:r>
    </w:p>
    <w:p>
      <w:pPr>
        <w:numPr>
          <w:ilvl w:val="-1"/>
          <w:numId w:val="0"/>
        </w:numPr>
        <w:adjustRightInd w:val="0"/>
        <w:snapToGrid w:val="0"/>
        <w:spacing w:line="360" w:lineRule="exact"/>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t>第二节-细胞因子了类药物的鉴别和检查</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这里仅对通过基因重组而得到的细胞因子类药物加以检验。</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一、鉴别</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(一)理化性质鉴别</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1.非特异性鉴别</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包括还原型SDS-PAGE电泳法、高效液相色谱法和紫外吸收光谱法。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2.特异性鉴别</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主要是利用蛋白质免疫印迹法、肽图分析法、氨基酸组成成分分析法、N端氨基酸序列分析法用于鉴别。</w:t>
      </w:r>
    </w:p>
    <w:p>
      <w:pPr>
        <w:spacing w:line="360" w:lineRule="exact"/>
        <w:ind w:firstLine="0" w:firstLineChars="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二、检查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基因工程类药物的检查方法包括蛋白质纯度检查、杂质检查、稳定性检查、产品一致性检查以及安全性检查。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药物的杂质包括蛋白质和非蛋白质两类。在蛋白质杂质中，主要包括残余的宿主细胞蛋白，以及目的蛋白本身也可能发生某些变化，形成在理化性质上与原蛋白极为相似的蛋白质杂质，如由污染的蛋白酶所造成的产物降解，冷冻过程中由于脱盐而导致的目的蛋白沉淀，冻干过程中由于过分处理引发的蛋白聚合等。或者由于亲和色谱柱上IgG 的丢失残留在样品中，以及在细胞培养过程中加入的小牛血清等。这些由于降解、聚合、错误折叠、外源蛋白质残留而造成的目的蛋白变构或者异体蛋白在体内往往会导致抗体的产生，因此对这类杂质在质量控制中要加以严格限定。</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药物的稳定性检查是评价其有效性和安全性的重要指标之一，也是确定药品贮藏条件和使用期限的主要依据。基因工程药物的一致性检查是确保各批最终产品的含量和杂质限度一致并符合标准的一项重要指标。由于以重组DNA技术为主的生物制药是一个十分复杂的过程，生产周期可达到1个月甚至更长的时间，影响因素较多，可能会造成载体质粒的丢失、蛋白质的降解、聚合、变性，以及培养过程污染等，因此必须对原料、生产到产品的每一步在内都进行严格的控制和质量鉴定，才能确保最终产物达到质量标准。所涉及的检测指标包括分子量、等电点、肽图分析、含量、纯度等。</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基因工程药物的安全性检查包括无菌检查、热原检查、毒性和安全性试验，需要按《中国药典》(2020年版)检查。</w:t>
      </w:r>
    </w:p>
    <w:p>
      <w:pPr>
        <w:numPr>
          <w:ilvl w:val="0"/>
          <w:numId w:val="186"/>
        </w:num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分子量检查</w:t>
      </w:r>
    </w:p>
    <w:p>
      <w:pPr>
        <w:numPr>
          <w:ilvl w:val="-1"/>
          <w:numId w:val="0"/>
        </w:numPr>
        <w:spacing w:line="360" w:lineRule="exact"/>
        <w:ind w:firstLine="0" w:firstLineChars="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分子量检查方法很多,最常用的方法是还原型SDS-PAGE电泳法和凝胶过滤法。SDS-PAGE法设备简单，操作简便，耗时短，费用低因而成为实验室测定分子量的最常规方法。在SDS存在的条件下，蛋白质表面带了大量负电荷而呈杆状分子，根据其分子形状和大小不同来测定其分子量，用量约1mg。</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2.等电点测定</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等电点是蛋白质的物理化学常数，它表示蛋白质的带电性质。一般均采用凝胶等电聚焦电泳(isoelectric focusing electrophoresis,IFE)技术进行等电点的测定。它利用蛋白质分子或者其他两性分子的等电点不同，在一个稳定的、连续的、线性的pH梯度中进行蛋白质的分离。在此过程中，分离仅仅决定于蛋白质的等电点，这是一个“稳态”过程。一旦蛋白质达到它的等电点位置，它就没有静电荷，所以就不能进一步迁移，由此可以计算出蛋白质的等电点。</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3.非还原型SDS-PAGE检测</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产品中若有聚合体存在,只有在非还原情况下才表现比较充分，所以要采用非还原型SDS-PAGE法检测。即在进行SDS-PAGE前，样品不经过还原剂，如不经过巯基乙醇或者二硫苏糖醇的处理，直接上样进行电泳。由此蛋白质分子内的二硫键并没有被打开而解聚，所以蛋白聚合体和蛋白质单体能分别泳动到不同位置，而区分开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4.高效液相色谱检测</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应根据生物药品的不同纯化工艺选择检测原理不同的高效液相色谱检测法，如分子筛色谱、反相HPLC、离子交换色谱等。一般尽量选择与SDS-PAGE 法检测原理不同的反相柱或者其他离子交换柱进行分析，即不用分子筛分析。应用适当的分析柱测定产品的总体纯度，凡是有紫外吸收的物质均能在谱图上显示出来。若产晶分子构型均一，则仅表现出一个峰，有些天然产品因有不同构型会表现出两个峰(如EGF等)。当用线性梯度离子交换法或体积排阻色谱试验样品时，如果样品是纯的，应呈现出单一的峰；如果杂质和样品峰相差较远，有可能将含量为1%～2%的杂质检测出来。在成品中可能含有氨基酸或者其他保护剂，在HPLC上会有其他色谱峰出现。基因工程药物的纯度的要求至少在95%以上。</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5.检定相关蛋白质</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色谱柱采用十八烷基硅烷键合硅胶为填充剂(如：C18柱，4.6mm×25cm,粒径5μm 或其他适宜的色谱柱),柱温为室温；以0.2%三氟乙酸-30%乙腈的水溶液为流动相A,以0.2%三氟乙酸-80%乙腈的水溶液为流动相B;流速为1.0ml/min;在波长210nm处检测；进行梯度洗脱。用超纯水将供试品稀释至每1ml中约含1.0mg,作为供试品溶液；取供试品溶液和过氧化氢溶液混合，使过氧化氢终浓度为0.005%(m/m),室温放置1小时，再向每毫升该溶液中加入L-甲硫氨酸12.5mg,作为对照品溶液(2～8℃放置不超过24小时)。取供试品溶液和对照品溶液各50μl注入液相色谱仪。对照品溶液及供试品溶液图谱中，干扰素主峰的保留时间约为20分钟。对照品溶液图谱中，氧化型峰相对于主峰的保留时间约为0.9,氧化型峰与主峰的分离度应不小于1.0。按面积归一化法只计算相对于主峰保留时间为0.7～1.4的相关蛋白峰面积，单个相关蛋白峰面积应大不于总面积的3.0%,所有相关蛋白峰面积应不大于总面积的5.0%。</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6.毛细管电泳检</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测毛细管电泳方法简单、快速、灵敏度和分辨率高,但设备昂贵，重现性较差，还在不断改进中，尚不能用于常规检验。</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7.外源DNA测定</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基因工程产品是将目的蛋白的基因片段克隆到宿主细胞的DNA 上，而在生产过程中，有时要破坏细胞后提纯，因此可能会因操作不当将外源DNA片段带入产品中，所以必须对产品进行外源残留DNA测定。一般规定外源DNA残余量，每1次人用剂量应不高于10ng,因此对于如此低含量的物质测定必须是采用极敏感的免疫学方法。</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 xml:space="preserve">8.残余lgG含量测定 </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9.宿主细胞蛋白质杂质检测</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10.抗生素残留量检测</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11.无菌检查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12.热原检查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13.细胞内毒素检查</w:t>
      </w:r>
    </w:p>
    <w:p>
      <w:pPr>
        <w:spacing w:line="360" w:lineRule="exact"/>
        <w:ind w:firstLine="420" w:firstLineChars="200"/>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Cs w:val="21"/>
          <w:lang w:val="en-US" w:eastAsia="zh-CN"/>
          <w14:textFill>
            <w14:solidFill>
              <w14:schemeClr w14:val="tx1"/>
            </w14:solidFill>
          </w14:textFill>
        </w:rPr>
        <w:t>14.异常毒性检查</w:t>
      </w:r>
    </w:p>
    <w:p>
      <w:pPr>
        <w:numPr>
          <w:ilvl w:val="-1"/>
          <w:numId w:val="0"/>
        </w:numPr>
        <w:adjustRightInd w:val="0"/>
        <w:snapToGrid w:val="0"/>
        <w:spacing w:line="360" w:lineRule="exact"/>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pPr>
    </w:p>
    <w:p>
      <w:pPr>
        <w:numPr>
          <w:ilvl w:val="-1"/>
          <w:numId w:val="0"/>
        </w:numPr>
        <w:adjustRightInd w:val="0"/>
        <w:snapToGrid w:val="0"/>
        <w:spacing w:line="360" w:lineRule="exact"/>
        <w:jc w:val="center"/>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t>第三节-细胞因子了类药物的含量和活性检测</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一、细胞因子类药物的蛋白质含量测定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基因重组细胞因子类药物的本质为蛋白质，因此蛋白质的含量测定方法均适用于此，主要包括半微量凯氏定氮法、微量法(Lowry法)、双缩脲法。这些原理和测定方法在第九章中已介绍，不再重复。只是在半微量凯氏定氮法中，再细分为钨酸法和三氯乙酸法，即采用钨酸或者三氯乙酸使蛋白质沉淀，过滤后取滤液测总蛋白氮和非蛋白氮含量。</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二、细胞因子类药物的生物学活性测定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生物制剂或生化制剂因受外界因素影响(温度、湿度、时间、生产过程的各环节等)而易导致其生物活性降低或全部丧失而失去药理作用，所以除要测定其蛋白质含量外，还要测定其生物学活性，以确定其是否具有体内或体外生理活性作用。因此，效价测定是基因重组细胞因子类药物质量的最重要指标之一。</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效价测定采用国际或国家参考品，或经过国家检定机构认可的参考品，以体内或细胞法测定制品的生物学活性，并标明其活性单位。一般用免疫学方法测定的效价不能代替生物学效价，在测定效价的同时，应测定蛋白质含量，计算出特异比活性，以活性单位/mg 蛋白质表示。</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免疫学测定法是重组细胞因子类药物效价测定常用的一种方法。其基本原理就是利用免疫学上的抗原-抗体反应，应用酶标仪来定量测定样品的量。</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w:t>
      </w:r>
      <w:r>
        <w:rPr>
          <w:rFonts w:hint="default" w:ascii="Times New Roman" w:hAnsi="Times New Roman" w:cs="Times New Roman" w:eastAsiaTheme="minorEastAsia"/>
          <w:b w:val="0"/>
          <w:bCs/>
          <w:color w:val="000000" w:themeColor="text1"/>
          <w:kern w:val="0"/>
          <w:sz w:val="21"/>
          <w:szCs w:val="21"/>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细胞病变抑制法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该法主要用于干扰素效价的测定。干扰素具有保护细胞免受病毒攻击的作用，因此采用细胞病变抑制法(eytopathogenic effect,CPE)来测定干扰素的生物效价，以国际单位(IU)表示。《中国药典》三部系依据干扰素可以保护人羊膜细胞(WISH)免受水泡性口炎病毒(VSV)破坏的作用，用结晶紫对存活的WISH细胞染色，在波长570nm处测定其吸光度，可得到干扰素对WISH细胞的保护效应曲线，以此测定干扰素生物学活性。实验所需要的试剂及操作均在无菌条件操作，溶液于4℃避光保存。</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2.MTT比色法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lang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该法是通过比较待测样品刺激检测细胞增殖能力的强弱来确定样品的活性。细胞增殖反应能量代谢活跃，可产生大量的能量，供合成多种大分子物质和细胞分裂所需，细胞能量代谢的水平与细胞合成DNA水平基本平行，因此，测定细胞能量代谢的水平可以间接地反映细胞的增殖情况</w:t>
      </w:r>
      <w:r>
        <w:rPr>
          <w:rFonts w:hint="default" w:ascii="Times New Roman" w:hAnsi="Times New Roman" w:cs="Times New Roman" w:eastAsiaTheme="minorEastAsia"/>
          <w:b w:val="0"/>
          <w:bCs/>
          <w:color w:val="000000" w:themeColor="text1"/>
          <w:kern w:val="0"/>
          <w:sz w:val="21"/>
          <w:szCs w:val="21"/>
          <w:lang w:eastAsia="zh-CN"/>
          <w14:textFill>
            <w14:solidFill>
              <w14:schemeClr w14:val="tx1"/>
            </w14:solidFill>
          </w14:textFill>
        </w:rPr>
        <w:t>。</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3.网织红细胞计数法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人促红细胞生成素(hEPO)具有刺激网织红细胞增殖的作用。给小鼠皮下注射hEPO后，其网织红细胞数量随hEPO注射剂量的增加而升高，利用网织红细胞数对红细胞数的比值变化，通过剂量反应平行线法检测hEPO体内生物学活性，这种方法即网织红细胞计数法，收载在《中国药典》(2020年版)通则中。</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4.ELISA检定法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hEPO是造血系统的重要调节因子之一。hEPO产品的生物学检测，不仅包括体内活性的测定(网织红细胞计数法)法，还包括体外活性的测定。测定方法为简单、快速、敏感的ELISA试剂盒检测法。检测所用试剂盒的灵敏度应符合国家要求，按试剂盒说明书进行操作。</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(1)分别将标准品和供试品初步稀释至活性为20～200mlU/ml(采用3步稀释法)。稀释后在微量振荡器上将样品混匀。</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(2)在微孔板上每孔加100μl EPO稀释溶液。</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(3)在上述微孔中分别加入100μl不同浓度的标准品溶液及稀释后的样品溶液。</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(4)用薄膜封闭微孔，将微孔板置于室温孵育2h。</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(5)吸去微孔中的液体，每孔加200μl结合液。</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(6)用薄膜封闭微孔，将微孔板置于室温孵育2h。</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(7)吸去微孔中的液体，每孔加300μl清洗液清洗4次。</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(8)每孔加200μl基底溶液(substrate solution)(必须在配制后15min内使用),注意不要加出气泡。</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(9)将微孔板置于室温孵育25min。</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(10)每孔加100μl终止液终止反应。</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(11)将微孔板置于酶标仪上，在450nm波长处测A值。根据标准品的浓度和A值求标准曲线方程，计算样品的浓度，即hEPO体外活性。</w:t>
      </w:r>
    </w:p>
    <w:p>
      <w:pPr>
        <w:numPr>
          <w:ilvl w:val="-1"/>
          <w:numId w:val="0"/>
        </w:numPr>
        <w:adjustRightInd w:val="0"/>
        <w:snapToGrid w:val="0"/>
        <w:spacing w:line="360" w:lineRule="exact"/>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pPr>
    </w:p>
    <w:p>
      <w:pPr>
        <w:numPr>
          <w:ilvl w:val="-1"/>
          <w:numId w:val="0"/>
        </w:numPr>
        <w:adjustRightInd w:val="0"/>
        <w:snapToGrid w:val="0"/>
        <w:spacing w:line="360" w:lineRule="exact"/>
        <w:jc w:val="center"/>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1"/>
          <w:szCs w:val="21"/>
          <w:lang w:val="en-US" w:eastAsia="zh-CN"/>
          <w14:textFill>
            <w14:solidFill>
              <w14:schemeClr w14:val="tx1"/>
            </w14:solidFill>
          </w14:textFill>
        </w:rPr>
        <w:t>第四节-应用实例</w:t>
      </w:r>
    </w:p>
    <w:p>
      <w:pPr>
        <w:spacing w:line="360" w:lineRule="exact"/>
        <w:ind w:firstLine="0" w:firstLineChars="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一、干扰素</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干扰素(interferon,IFN)是一组多功能的细胞因子，根据其结构和来源主要分三种。即干扰素α、干扰素β、干扰素γ,其中干扰素α又分许多亚型；干扰素α、干扰素β的结构和功能很类似，干扰素γ则与它们有很大的差异。在临床上广泛应用于抗病毒感染、治疗肿瘤和活化免疫细胞发挥免疫调节作用。</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(一)名称</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重组人干扰素a2a(Reombinant Human lnteferon a2a,HulFNo2a)。商品名有Refero.nA、因特芬、抗病肽、罗扰素等。</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(二)结构与性质</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由165个氨基酸残基组成的单链多肽，Cys‘和Cyg”、Cys”和Cys1《组成二条二硫键。其中Cy8²-Cys'*之间的二硫键对干扰素生物活性至关重要。在pH2.5的溶液稳定，对热也稳定。对各种蛋自酶敏感。分子量19219,等电点在5~6之间。分子中无糖，比活性可达2×10°1U/mg蛋白。</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(三)鉴别</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使用蛋白质印迹法或者免疫斑点法检测，显阳性。</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(四)检查</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1.纯度检测用非还原型SDS-PAGE电泳，分离胶浓度15%,加样量应不低于10μg (考马斯亮蓝R-250染色法)或5μg(银染法)。经扫描仪扫描，纯度应不低于95%。用HPLC法检测，色谱柱以适合分离分子量为5×10³~60×10³蛋白质的色谱用凝胶为填充剂，pH7.0;上样量应不低于20μg,在波长280nm处检测，以干扰素色谱峰计算的理论板数应不低于1000。按面积归一化法计算，干扰素主峰面积应不低于总面积的95.0%。</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2.分子量用还原型SDS-PAGE法检查，分离胶浓度为15%,加样量应不低于1.0μg,制品的分子质量应在19.2kDa±1.9kDa。</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3.外源DNA残留量每1次人用剂量应不高于10ng,采用DNA探针杂交法测定。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4.鼠lgG残余量适用于采用单克隆抗体亲和色谱法纯化工艺，应进行本项检定。每1次人用剂量应不高于100ng,采用酶联免疫法测定。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5.宿主菌蛋白残留应不高于蛋白质总量的0.1%,采用酶联免疫法测定。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6.残余抗生素活性不应有残余的氨苄西林或其他抗生素活性，采用管碟法测定。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7.细菌内毒素检查每300万IU应小于10EU,采用凝胶法检测。</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8.等电点主区带应为5.5~6.8,且供试品的等电点图谱应与对照品一致，采用等电聚焦法检测。</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9.紫外光谱用水或生理氯化钠溶液将供试品稀释至100～500μg/ml,在光路1cm、波长230～360nm下进行扫描，最大吸收波长应在278nm±3nm。</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10.肽图应用胰蛋白酶裂解-反相HPLC法测定，与对照品图谱一致。</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11.N端氨基酸序列用氨基酸序列分析仪测定，N端序列应为：(Met)-Cys-Asp-Leu-Pw-Cln-Thr-His-Ser-Leu-Gly-Ser-Arg-Arg-Thr-Leu。每年至少测定一次。</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(五)蛋白质含量</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(六)比活性</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生物学活性测定采用细胞病变抑制法测定，比活性为生物学活性与蛋白质含量之比，每1mg蛋白质应不低于1.0×10</w:t>
      </w:r>
      <w:r>
        <w:rPr>
          <w:rFonts w:hint="default" w:ascii="Times New Roman" w:hAnsi="Times New Roman" w:cs="Times New Roman" w:eastAsiaTheme="minorEastAsia"/>
          <w:b w:val="0"/>
          <w:bCs/>
          <w:color w:val="000000" w:themeColor="text1"/>
          <w:kern w:val="0"/>
          <w:sz w:val="21"/>
          <w:szCs w:val="21"/>
          <w:vertAlign w:val="superscript"/>
          <w:lang w:eastAsia="zh-CN"/>
          <w14:textFill>
            <w14:solidFill>
              <w14:schemeClr w14:val="tx1"/>
            </w14:solidFill>
          </w14:textFill>
        </w:rPr>
        <w:t>8</w:t>
      </w: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IU。</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二、促红细胞生成素</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断离、旱产儿和癌症的放化疗治疗。以《中国药典》(2020年版)三部收载的注射用重组人促红素(CHO)生产原液为例，说明其质量分析方法。</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(一)名称</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促红细胞生成素(neombinant human eythrgpwictin,rHuEPO),商晶名为怡泼津，EPO-CEN、ESPO。</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(二)结构与性质</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条二硫键(Cys⁷-Cys¹1,Cys</w:t>
      </w:r>
      <w:r>
        <w:rPr>
          <w:rFonts w:hint="default" w:ascii="Times New Roman" w:hAnsi="Times New Roman" w:cs="Times New Roman" w:eastAsiaTheme="minorEastAsia"/>
          <w:b w:val="0"/>
          <w:bCs/>
          <w:color w:val="000000" w:themeColor="text1"/>
          <w:kern w:val="0"/>
          <w:sz w:val="21"/>
          <w:szCs w:val="21"/>
          <w:vertAlign w:val="superscript"/>
          <w:lang w:eastAsia="zh-CN"/>
          <w14:textFill>
            <w14:solidFill>
              <w14:schemeClr w14:val="tx1"/>
            </w14:solidFill>
          </w14:textFill>
        </w:rPr>
        <w:t>2</w:t>
      </w:r>
      <w:r>
        <w:rPr>
          <w:rFonts w:hint="default" w:ascii="Times New Roman" w:hAnsi="Times New Roman" w:cs="Times New Roman" w:eastAsiaTheme="minorEastAsia"/>
          <w:b w:val="0"/>
          <w:bCs/>
          <w:color w:val="000000" w:themeColor="text1"/>
          <w:kern w:val="0"/>
          <w:sz w:val="21"/>
          <w:szCs w:val="21"/>
          <w:vertAlign w:val="superscript"/>
          <w:lang w:val="en-US" w:eastAsia="zh-CN"/>
          <w14:textFill>
            <w14:solidFill>
              <w14:schemeClr w14:val="tx1"/>
            </w14:solidFill>
          </w14:textFill>
        </w:rPr>
        <w:t>9</w:t>
      </w: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-Cys</w:t>
      </w:r>
      <w:r>
        <w:rPr>
          <w:rFonts w:hint="default" w:ascii="Times New Roman" w:hAnsi="Times New Roman" w:cs="Times New Roman" w:eastAsiaTheme="minorEastAsia"/>
          <w:b w:val="0"/>
          <w:bCs/>
          <w:color w:val="000000" w:themeColor="text1"/>
          <w:kern w:val="0"/>
          <w:sz w:val="21"/>
          <w:szCs w:val="21"/>
          <w:vertAlign w:val="superscript"/>
          <w:lang w:eastAsia="zh-CN"/>
          <w14:textFill>
            <w14:solidFill>
              <w14:schemeClr w14:val="tx1"/>
            </w14:solidFill>
          </w14:textFill>
        </w:rPr>
        <w:t>3</w:t>
      </w:r>
      <w:r>
        <w:rPr>
          <w:rFonts w:hint="default" w:ascii="Times New Roman" w:hAnsi="Times New Roman" w:cs="Times New Roman" w:eastAsiaTheme="minorEastAsia"/>
          <w:b w:val="0"/>
          <w:bCs/>
          <w:color w:val="000000" w:themeColor="text1"/>
          <w:kern w:val="0"/>
          <w:sz w:val="21"/>
          <w:szCs w:val="21"/>
          <w:vertAlign w:val="superscript"/>
          <w:lang w:val="en-US" w:eastAsia="zh-CN"/>
          <w14:textFill>
            <w14:solidFill>
              <w14:schemeClr w14:val="tx1"/>
            </w14:solidFill>
          </w14:textFill>
        </w:rPr>
        <w:t>3</w:t>
      </w: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分子量30400。其成分有约60%的蛋白质和40%的糖类。N端前27个高度疏水的氨基酸构成分泌前导肽。去唾液酸或去糖基化不影响其体外的生物学活性，但却缩短了其在体内的半衰期，使其完全丧失体内的活性，因此糖结构的存在是十分重要的。也就是说，只有在真核细胞内表达的EPO才具有体内生物学活性。本品对热稳定，80℃不变性；耐有机溶剂。等电点为4.5,pH 3.5～10活性稳定。对蛋白水解酶、烷基化和碘化作用敏感。二硫键打开后生物学活性丧失。</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(三)鉴别</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使用蛋白质印迹法或者免疫斑点法检测，显阳性。</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(四)检查</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1.纯度检测用非还原型SDS-PAGE电泳,分离胶浓度12.5%,加样量应不低于</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10μg,考马斯亮蓝R-250染色，经扫描仪扫描，纯度应不低于99%。用HPLC法检测，亲水硅胶体积排阻色谱柱，排阻极限300kDa,孔径24nm,粒度10μm,直径7.5mm,长30cm;流动相为3.2mmol/L磷酸氢二钠-1.5mmol/L磷酸二氢钾-400.4mmol/L氯化钠，pH7.3;上样量应为20～100μg,在波长280nm处检测，以EPO色谱峰计算的理论板数应不低于1500。按面积归一化法计算EPO纯度，应不低于98.0%。</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2.分子量用还原型SDS-PAGE法检查,考马斯亮蓝染色。分离胶浓度为12.5%,加样量应不低于1μg,分子量应在36×10³~45×10³。</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3.紫外光谱用水或生理氯化钠溶液将供试品稀释至0.5~2mg/ml,在光路1cm、波长230～360nm下进行扫描，最大吸收波长应在279nm'±2nm;最小吸收波长应在250nm±2nm;在320～360nm处应无吸收峰。</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4.等电点在3.3～4.3之间。供试品的等电点图谱应与对照品一致。等电聚焦法检测。</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5.唾液酸含量每1mol EPO应不低于10.0mmol。间苯二酚显色法测定。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6.外源DNA残留量每10000IU EPO应不高于100pg。DNA探针杂交法测定。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7.CHO细胞蛋白残留应不高于蛋白质总量的0.05%。双抗体夹心酶联免疫法测定。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8.细菌内毒素检查每1000IUEPO应小于2EU。凝胶法检测。</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9.牛血清白蛋白残留应不高于蛋白质总量的0,01%。酶联免疫法测定。</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10.肽图供试品经透析、冻干后，用1%碳酸氢铵溶液溶解并稀释至1.5mg/ml,应用胰蛋白酶裂解-反相HPLC法测定，应与对照品一致。</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11.N端氨基酸序列用氨基酸序列分析仪测定，N端序列应为：Ala-Pro-Pro-Arg-Leu-lle-Cys-Asp-Ser-Arg-Val-Leu-Glu-Arg-Tyr。每年至少测定一次。</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(五)蛋白质含量</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用4g/L碳酸氢铵溶液将供试品稀释至0.5~2mg/ml,作为供试品溶液。以4g/L碳酸氢铵溶液空白，测定供试品溶液在320nm、325nm、330nm、335nm、340nm、345nm、350nm 的吸光度值。用读出的吸光度的对数与其对应波长的对数作线性回归，求得回归方程。紫外-可见分光光度法，在波长276~280nm处，测定供试品溶液最大吸光度Am.,将A.对应波长代人归回方程，求得供试品溶液由于光散射产生的吸光度(4光版谢)。按下列公式计算供试品蛋白质含量，应不低于0.5mg/ml。</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p>
    <w:p>
      <w:pPr>
        <w:spacing w:line="360" w:lineRule="exact"/>
        <w:ind w:firstLine="420" w:firstLineChars="200"/>
        <w:jc w:val="cente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szCs w:val="21"/>
        </w:rPr>
        <w:drawing>
          <wp:anchor distT="0" distB="0" distL="114300" distR="114300" simplePos="0" relativeHeight="251708416" behindDoc="0" locked="0" layoutInCell="1" allowOverlap="1">
            <wp:simplePos x="0" y="0"/>
            <wp:positionH relativeFrom="column">
              <wp:posOffset>1332230</wp:posOffset>
            </wp:positionH>
            <wp:positionV relativeFrom="paragraph">
              <wp:posOffset>-83820</wp:posOffset>
            </wp:positionV>
            <wp:extent cx="2876550" cy="266700"/>
            <wp:effectExtent l="0" t="0" r="0" b="0"/>
            <wp:wrapTopAndBottom/>
            <wp:docPr id="61"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图片 2"/>
                    <pic:cNvPicPr>
                      <a:picLocks noChangeAspect="1"/>
                    </pic:cNvPicPr>
                  </pic:nvPicPr>
                  <pic:blipFill>
                    <a:blip r:embed="rId54"/>
                    <a:stretch>
                      <a:fillRect/>
                    </a:stretch>
                  </pic:blipFill>
                  <pic:spPr>
                    <a:xfrm>
                      <a:off x="0" y="0"/>
                      <a:ext cx="2876550" cy="266700"/>
                    </a:xfrm>
                    <a:prstGeom prst="rect">
                      <a:avLst/>
                    </a:prstGeom>
                    <a:noFill/>
                    <a:ln>
                      <a:noFill/>
                    </a:ln>
                  </pic:spPr>
                </pic:pic>
              </a:graphicData>
            </a:graphic>
          </wp:anchor>
        </w:drawing>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t>(六)比活性</w:t>
      </w:r>
    </w:p>
    <w:p>
      <w:pPr>
        <w:keepNext w:val="0"/>
        <w:keepLines w:val="0"/>
        <w:widowControl/>
        <w:suppressLineNumbers w:val="0"/>
        <w:spacing w:line="360" w:lineRule="exact"/>
        <w:ind w:firstLine="420" w:firstLineChars="200"/>
        <w:jc w:val="left"/>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r>
        <w:rPr>
          <w:rFonts w:hint="default" w:ascii="Times New Roman" w:hAnsi="Times New Roman" w:cs="Times New Roman" w:eastAsiaTheme="minorEastAsia"/>
          <w:b w:val="0"/>
          <w:bCs/>
          <w:color w:val="000000" w:themeColor="text1"/>
          <w:kern w:val="0"/>
          <w:sz w:val="21"/>
          <w:szCs w:val="21"/>
          <w:lang w:val="en-US" w:eastAsia="zh-CN" w:bidi="ar"/>
          <w14:textFill>
            <w14:solidFill>
              <w14:schemeClr w14:val="tx1"/>
            </w14:solidFill>
          </w14:textFill>
        </w:rPr>
        <w:t>ELISA测定法测定EPO体外生物学活性；网织红细胞法测定EPO体内生物学活性。体内比活性为体内生物学活性与蛋白质含量之比，每1mg蛋白质应不低于1.0×10⁵1U。</w:t>
      </w:r>
    </w:p>
    <w:p>
      <w:pPr>
        <w:spacing w:line="360" w:lineRule="exact"/>
        <w:ind w:firstLine="420" w:firstLineChars="200"/>
        <w:rPr>
          <w:rFonts w:hint="default" w:ascii="Times New Roman" w:hAnsi="Times New Roman" w:cs="Times New Roman" w:eastAsiaTheme="minorEastAsia"/>
          <w:b w:val="0"/>
          <w:bCs/>
          <w:color w:val="000000" w:themeColor="text1"/>
          <w:kern w:val="0"/>
          <w:sz w:val="21"/>
          <w:szCs w:val="21"/>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color w:val="000000" w:themeColor="text1"/>
          <w:kern w:val="0"/>
          <w:sz w:val="21"/>
          <w:szCs w:val="21"/>
          <w:lang w:val="en-US"/>
          <w14:textFill>
            <w14:solidFill>
              <w14:schemeClr w14:val="tx1"/>
            </w14:solidFill>
          </w14:textFill>
        </w:rPr>
      </w:pPr>
      <w:r>
        <w:rPr>
          <w:rFonts w:hint="default" w:ascii="Times New Roman" w:hAnsi="Times New Roman" w:cs="Times New Roman" w:eastAsiaTheme="minorEastAsia"/>
          <w:sz w:val="21"/>
          <w:szCs w:val="21"/>
        </w:rPr>
        <w:drawing>
          <wp:anchor distT="0" distB="0" distL="114300" distR="114300" simplePos="0" relativeHeight="251707392" behindDoc="0" locked="0" layoutInCell="1" allowOverlap="1">
            <wp:simplePos x="0" y="0"/>
            <wp:positionH relativeFrom="column">
              <wp:posOffset>572135</wp:posOffset>
            </wp:positionH>
            <wp:positionV relativeFrom="paragraph">
              <wp:posOffset>431165</wp:posOffset>
            </wp:positionV>
            <wp:extent cx="3052445" cy="2451735"/>
            <wp:effectExtent l="0" t="0" r="5080" b="5715"/>
            <wp:wrapTopAndBottom/>
            <wp:docPr id="60" name="图片 5"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图片 5" descr="IMG_256"/>
                    <pic:cNvPicPr>
                      <a:picLocks noChangeAspect="1"/>
                    </pic:cNvPicPr>
                  </pic:nvPicPr>
                  <pic:blipFill>
                    <a:blip r:embed="rId55"/>
                    <a:stretch>
                      <a:fillRect/>
                    </a:stretch>
                  </pic:blipFill>
                  <pic:spPr>
                    <a:xfrm>
                      <a:off x="0" y="0"/>
                      <a:ext cx="3052445" cy="2451735"/>
                    </a:xfrm>
                    <a:prstGeom prst="rect">
                      <a:avLst/>
                    </a:prstGeom>
                    <a:noFill/>
                    <a:ln w="9525">
                      <a:noFill/>
                    </a:ln>
                  </pic:spPr>
                </pic:pic>
              </a:graphicData>
            </a:graphic>
          </wp:anchor>
        </w:drawing>
      </w:r>
      <w:r>
        <w:rPr>
          <w:rFonts w:hint="default" w:ascii="Times New Roman" w:hAnsi="Times New Roman" w:cs="Times New Roman" w:eastAsiaTheme="minorEastAsia"/>
          <w:b/>
          <w:color w:val="000000" w:themeColor="text1"/>
          <w:kern w:val="0"/>
          <w:sz w:val="21"/>
          <w:szCs w:val="21"/>
          <w:lang w:val="en-US" w:eastAsia="zh-CN"/>
          <w14:textFill>
            <w14:solidFill>
              <w14:schemeClr w14:val="tx1"/>
            </w14:solidFill>
          </w14:textFill>
        </w:rPr>
        <w:t>【重点小结】</w:t>
      </w:r>
    </w:p>
    <w:p>
      <w:pPr>
        <w:spacing w:line="40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bookmarkStart w:id="19" w:name="OLE_LINK25"/>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w:t>
      </w:r>
      <w:r>
        <w:rPr>
          <w:rFonts w:hint="default" w:ascii="Times New Roman" w:hAnsi="Times New Roman" w:cs="Times New Roman" w:eastAsiaTheme="minorEastAsia"/>
          <w:color w:val="000000" w:themeColor="text1"/>
          <w:lang w:val="en-US" w:eastAsia="zh-CN"/>
          <w14:textFill>
            <w14:solidFill>
              <w14:schemeClr w14:val="tx1"/>
            </w14:solidFill>
          </w14:textFill>
        </w:rPr>
        <w:t>细胞因子类药物</w:t>
      </w:r>
      <w:r>
        <w:rPr>
          <w:rFonts w:hint="default" w:ascii="Times New Roman" w:hAnsi="Times New Roman" w:cs="Times New Roman" w:eastAsiaTheme="minorEastAsia"/>
          <w:color w:val="000000" w:themeColor="text1"/>
          <w14:textFill>
            <w14:solidFill>
              <w14:schemeClr w14:val="tx1"/>
            </w14:solidFill>
          </w14:textFill>
        </w:rPr>
        <w:t>的分析。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2.试比较几种</w:t>
      </w:r>
      <w:r>
        <w:rPr>
          <w:rFonts w:hint="default" w:ascii="Times New Roman" w:hAnsi="Times New Roman" w:cs="Times New Roman" w:eastAsiaTheme="minorEastAsia"/>
          <w:color w:val="000000" w:themeColor="text1"/>
          <w:lang w:val="en-US" w:eastAsia="zh-CN"/>
          <w14:textFill>
            <w14:solidFill>
              <w14:schemeClr w14:val="tx1"/>
            </w14:solidFill>
          </w14:textFill>
        </w:rPr>
        <w:t>细胞因子类药物</w:t>
      </w:r>
      <w:r>
        <w:rPr>
          <w:rFonts w:hint="default" w:ascii="Times New Roman" w:hAnsi="Times New Roman" w:cs="Times New Roman" w:eastAsiaTheme="minorEastAsia"/>
          <w:color w:val="000000" w:themeColor="text1"/>
          <w14:textFill>
            <w14:solidFill>
              <w14:schemeClr w14:val="tx1"/>
            </w14:solidFill>
          </w14:textFill>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3.复习基因工程药物</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张怡轩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bookmarkEnd w:id="19"/>
    <w:p>
      <w:pPr>
        <w:spacing w:line="400" w:lineRule="exact"/>
        <w:ind w:firstLine="420" w:firstLineChars="200"/>
        <w:rPr>
          <w:rFonts w:hint="default" w:ascii="Times New Roman" w:hAnsi="Times New Roman" w:cs="Times New Roman" w:eastAsiaTheme="minorEastAsia"/>
          <w:b w:val="0"/>
          <w:bCs/>
          <w:color w:val="000000" w:themeColor="text1"/>
          <w:kern w:val="0"/>
          <w:szCs w:val="21"/>
          <w14:textFill>
            <w14:solidFill>
              <w14:schemeClr w14:val="tx1"/>
            </w14:solidFill>
          </w14:textFill>
        </w:rPr>
      </w:pPr>
    </w:p>
    <w:tbl>
      <w:tblPr>
        <w:tblStyle w:val="13"/>
        <w:tblpPr w:leftFromText="180" w:rightFromText="180" w:vertAnchor="text" w:horzAnchor="margin" w:tblpX="-86" w:tblpY="157"/>
        <w:tblW w:w="88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1730"/>
        <w:gridCol w:w="1200"/>
        <w:gridCol w:w="1410"/>
        <w:gridCol w:w="88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bookmarkStart w:id="20" w:name="OLE_LINK17"/>
            <w:r>
              <w:rPr>
                <w:rFonts w:hint="default" w:ascii="Times New Roman" w:hAnsi="Times New Roman" w:cs="Times New Roman" w:eastAsiaTheme="minorEastAsia"/>
                <w:b w:val="0"/>
                <w:bCs/>
                <w:color w:val="000000" w:themeColor="text1"/>
                <w14:textFill>
                  <w14:solidFill>
                    <w14:schemeClr w14:val="tx1"/>
                  </w14:solidFill>
                </w14:textFill>
              </w:rPr>
              <w:t>授课题目</w:t>
            </w:r>
          </w:p>
        </w:tc>
        <w:tc>
          <w:tcPr>
            <w:tcW w:w="4210" w:type="dxa"/>
            <w:gridSpan w:val="2"/>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sz w:val="24"/>
                <w:szCs w:val="32"/>
                <w14:textFill>
                  <w14:solidFill>
                    <w14:schemeClr w14:val="tx1"/>
                  </w14:solidFill>
                </w14:textFill>
              </w:rPr>
              <w:t>第</w:t>
            </w:r>
            <w:r>
              <w:rPr>
                <w:rFonts w:hint="default" w:ascii="Times New Roman" w:hAnsi="Times New Roman" w:cs="Times New Roman" w:eastAsiaTheme="minorEastAsia"/>
                <w:b w:val="0"/>
                <w:bCs/>
                <w:color w:val="000000" w:themeColor="text1"/>
                <w:sz w:val="24"/>
                <w:szCs w:val="32"/>
                <w:lang w:val="en-US" w:eastAsia="zh-CN"/>
                <w14:textFill>
                  <w14:solidFill>
                    <w14:schemeClr w14:val="tx1"/>
                  </w14:solidFill>
                </w14:textFill>
              </w:rPr>
              <w:t>十三</w:t>
            </w:r>
            <w:r>
              <w:rPr>
                <w:rFonts w:hint="default" w:ascii="Times New Roman" w:hAnsi="Times New Roman" w:cs="Times New Roman" w:eastAsiaTheme="minorEastAsia"/>
                <w:b w:val="0"/>
                <w:bCs/>
                <w:color w:val="000000" w:themeColor="text1"/>
                <w:sz w:val="24"/>
                <w:szCs w:val="32"/>
                <w14:textFill>
                  <w14:solidFill>
                    <w14:schemeClr w14:val="tx1"/>
                  </w14:solidFill>
                </w14:textFill>
              </w:rPr>
              <w:t xml:space="preserve">章 </w:t>
            </w:r>
            <w:bookmarkStart w:id="21" w:name="OLE_LINK24"/>
            <w:r>
              <w:rPr>
                <w:rFonts w:hint="default" w:ascii="Times New Roman" w:hAnsi="Times New Roman" w:cs="Times New Roman" w:eastAsiaTheme="minorEastAsia"/>
                <w:b w:val="0"/>
                <w:bCs/>
                <w:color w:val="000000" w:themeColor="text1"/>
                <w:sz w:val="24"/>
                <w:szCs w:val="32"/>
                <w:lang w:val="en-US" w:eastAsia="zh-CN"/>
                <w14:textFill>
                  <w14:solidFill>
                    <w14:schemeClr w14:val="tx1"/>
                  </w14:solidFill>
                </w14:textFill>
              </w:rPr>
              <w:t>抗体类</w:t>
            </w:r>
            <w:r>
              <w:rPr>
                <w:rFonts w:hint="default" w:ascii="Times New Roman" w:hAnsi="Times New Roman" w:cs="Times New Roman" w:eastAsiaTheme="minorEastAsia"/>
                <w:b w:val="0"/>
                <w:bCs/>
                <w:color w:val="000000" w:themeColor="text1"/>
                <w:sz w:val="24"/>
                <w:szCs w:val="32"/>
                <w14:textFill>
                  <w14:solidFill>
                    <w14:schemeClr w14:val="tx1"/>
                  </w14:solidFill>
                </w14:textFill>
              </w:rPr>
              <w:t>药物的分析</w:t>
            </w:r>
            <w:bookmarkEnd w:id="21"/>
          </w:p>
        </w:tc>
        <w:tc>
          <w:tcPr>
            <w:tcW w:w="1200"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授课日期</w:t>
            </w:r>
          </w:p>
        </w:tc>
        <w:tc>
          <w:tcPr>
            <w:tcW w:w="2296" w:type="dxa"/>
            <w:gridSpan w:val="2"/>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202</w:t>
            </w:r>
            <w:r>
              <w:rPr>
                <w:rFonts w:hint="default" w:ascii="Times New Roman" w:hAnsi="Times New Roman" w:cs="Times New Roman" w:eastAsiaTheme="minorEastAsia"/>
                <w:b w:val="0"/>
                <w:bCs/>
                <w:color w:val="000000" w:themeColor="text1"/>
                <w:lang w:val="en-US" w:eastAsia="zh-CN"/>
                <w14:textFill>
                  <w14:solidFill>
                    <w14:schemeClr w14:val="tx1"/>
                  </w14:solidFill>
                </w14:textFill>
              </w:rPr>
              <w:t>4</w:t>
            </w:r>
            <w:r>
              <w:rPr>
                <w:rFonts w:hint="default" w:ascii="Times New Roman" w:hAnsi="Times New Roman" w:cs="Times New Roman" w:eastAsiaTheme="minorEastAsia"/>
                <w:b w:val="0"/>
                <w:bCs/>
                <w:color w:val="000000" w:themeColor="text1"/>
                <w14:textFill>
                  <w14:solidFill>
                    <w14:schemeClr w14:val="tx1"/>
                  </w14:solidFill>
                </w14:textFill>
              </w:rPr>
              <w:t>年</w:t>
            </w:r>
            <w:r>
              <w:rPr>
                <w:rFonts w:hint="default" w:ascii="Times New Roman" w:hAnsi="Times New Roman" w:cs="Times New Roman" w:eastAsiaTheme="minorEastAsia"/>
                <w:b w:val="0"/>
                <w:bCs/>
                <w:color w:val="000000" w:themeColor="text1"/>
                <w:lang w:val="en-US" w:eastAsia="zh-CN"/>
                <w14:textFill>
                  <w14:solidFill>
                    <w14:schemeClr w14:val="tx1"/>
                  </w14:solidFill>
                </w14:textFill>
              </w:rPr>
              <w:t>5</w:t>
            </w:r>
            <w:r>
              <w:rPr>
                <w:rFonts w:hint="default" w:ascii="Times New Roman" w:hAnsi="Times New Roman" w:cs="Times New Roman" w:eastAsiaTheme="minorEastAsia"/>
                <w:b w:val="0"/>
                <w:bCs/>
                <w:color w:val="000000" w:themeColor="text1"/>
                <w14:textFill>
                  <w14:solidFill>
                    <w14:schemeClr w14:val="tx1"/>
                  </w14:solidFill>
                </w14:textFill>
              </w:rPr>
              <w:t>月</w:t>
            </w:r>
            <w:r>
              <w:rPr>
                <w:rFonts w:hint="default" w:ascii="Times New Roman" w:hAnsi="Times New Roman" w:cs="Times New Roman" w:eastAsiaTheme="minorEastAsia"/>
                <w:b w:val="0"/>
                <w:bCs/>
                <w:color w:val="000000" w:themeColor="text1"/>
                <w:lang w:val="en-US" w:eastAsia="zh-CN"/>
                <w14:textFill>
                  <w14:solidFill>
                    <w14:schemeClr w14:val="tx1"/>
                  </w14:solidFill>
                </w14:textFill>
              </w:rPr>
              <w:t>8、10</w:t>
            </w:r>
            <w:r>
              <w:rPr>
                <w:rFonts w:hint="default" w:ascii="Times New Roman" w:hAnsi="Times New Roman" w:cs="Times New Roman" w:eastAsiaTheme="minorEastAsia"/>
                <w:b w:val="0"/>
                <w:bCs/>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sz w:val="24"/>
                <w14:textFill>
                  <w14:solidFill>
                    <w14:schemeClr w14:val="tx1"/>
                  </w14:solidFill>
                </w14:textFill>
              </w:rPr>
              <w:t>生药20213班</w:t>
            </w:r>
          </w:p>
        </w:tc>
        <w:tc>
          <w:tcPr>
            <w:tcW w:w="1730"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授课时数</w:t>
            </w:r>
          </w:p>
        </w:tc>
        <w:tc>
          <w:tcPr>
            <w:tcW w:w="1200" w:type="dxa"/>
            <w:vAlign w:val="center"/>
          </w:tcPr>
          <w:p>
            <w:pPr>
              <w:spacing w:line="400" w:lineRule="exact"/>
              <w:jc w:val="center"/>
              <w:rPr>
                <w:rFonts w:hint="default" w:ascii="Times New Roman" w:hAnsi="Times New Roman" w:cs="Times New Roman" w:eastAsiaTheme="minorEastAsia"/>
                <w:b w:val="0"/>
                <w:bCs/>
                <w:color w:val="000000" w:themeColor="text1"/>
                <w:lang w:eastAsia="zh-CN"/>
                <w14:textFill>
                  <w14:solidFill>
                    <w14:schemeClr w14:val="tx1"/>
                  </w14:solidFill>
                </w14:textFill>
              </w:rPr>
            </w:pPr>
            <w:r>
              <w:rPr>
                <w:rFonts w:hint="default" w:ascii="Times New Roman" w:hAnsi="Times New Roman" w:cs="Times New Roman" w:eastAsiaTheme="minorEastAsia"/>
                <w:b w:val="0"/>
                <w:bCs/>
                <w:color w:val="000000" w:themeColor="text1"/>
                <w:lang w:val="en-US" w:eastAsia="zh-CN"/>
                <w14:textFill>
                  <w14:solidFill>
                    <w14:schemeClr w14:val="tx1"/>
                  </w14:solidFill>
                </w14:textFill>
              </w:rPr>
              <w:t>3</w:t>
            </w:r>
          </w:p>
        </w:tc>
        <w:tc>
          <w:tcPr>
            <w:tcW w:w="1410"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授课方式</w:t>
            </w:r>
          </w:p>
        </w:tc>
        <w:tc>
          <w:tcPr>
            <w:tcW w:w="886" w:type="dxa"/>
            <w:vAlign w:val="center"/>
          </w:tcPr>
          <w:p>
            <w:pPr>
              <w:spacing w:line="400" w:lineRule="exact"/>
              <w:jc w:val="center"/>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理论课</w:t>
            </w:r>
          </w:p>
        </w:tc>
      </w:tr>
      <w:bookmarkEnd w:id="20"/>
    </w:tbl>
    <w:p>
      <w:pPr>
        <w:spacing w:line="40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p>
    <w:p>
      <w:pPr>
        <w:spacing w:line="360" w:lineRule="exact"/>
        <w:ind w:left="420" w:hanging="420" w:hangingChars="200"/>
        <w:rPr>
          <w:rFonts w:hint="default" w:ascii="Times New Roman" w:hAnsi="Times New Roman" w:cs="Times New Roman" w:eastAsiaTheme="minorEastAsia"/>
          <w:b w:val="0"/>
          <w:bCs/>
          <w:szCs w:val="21"/>
        </w:rPr>
      </w:pPr>
      <w:r>
        <w:rPr>
          <w:rFonts w:hint="default" w:ascii="Times New Roman" w:hAnsi="Times New Roman" w:cs="Times New Roman" w:eastAsiaTheme="minorEastAsia"/>
          <w:b w:val="0"/>
          <w:bCs/>
          <w:color w:val="000000" w:themeColor="text1"/>
          <w14:textFill>
            <w14:solidFill>
              <w14:schemeClr w14:val="tx1"/>
            </w14:solidFill>
          </w14:textFill>
        </w:rPr>
        <w:t>【教学目标】</w:t>
      </w:r>
      <w:r>
        <w:rPr>
          <w:rFonts w:hint="default" w:ascii="Times New Roman" w:hAnsi="Times New Roman" w:cs="Times New Roman" w:eastAsiaTheme="minorEastAsia"/>
          <w:b w:val="0"/>
          <w:bCs/>
          <w:color w:val="000000" w:themeColor="text1"/>
          <w14:textFill>
            <w14:solidFill>
              <w14:schemeClr w14:val="tx1"/>
            </w14:solidFill>
          </w14:textFill>
        </w:rPr>
        <w:br w:type="textWrapping"/>
      </w:r>
      <w:r>
        <w:rPr>
          <w:rFonts w:hint="default" w:ascii="Times New Roman" w:hAnsi="Times New Roman" w:cs="Times New Roman" w:eastAsiaTheme="minorEastAsia"/>
          <w:b w:val="0"/>
          <w:bCs/>
          <w:szCs w:val="21"/>
        </w:rPr>
        <w:t>1.掌握抗体类药物的概念、分类</w:t>
      </w:r>
      <w:r>
        <w:rPr>
          <w:rFonts w:hint="default" w:ascii="Times New Roman" w:hAnsi="Times New Roman" w:cs="Times New Roman" w:eastAsiaTheme="minorEastAsia"/>
          <w:b w:val="0"/>
          <w:bCs/>
          <w:szCs w:val="21"/>
          <w:lang w:eastAsia="zh-CN"/>
        </w:rPr>
        <w:t>，</w:t>
      </w:r>
      <w:r>
        <w:rPr>
          <w:rFonts w:hint="default" w:ascii="Times New Roman" w:hAnsi="Times New Roman" w:cs="Times New Roman" w:eastAsiaTheme="minorEastAsia"/>
          <w:b w:val="0"/>
          <w:bCs/>
          <w:szCs w:val="21"/>
        </w:rPr>
        <w:t>抗体类药物质量监控的要点。</w:t>
      </w:r>
    </w:p>
    <w:p>
      <w:pPr>
        <w:spacing w:line="360" w:lineRule="exact"/>
        <w:ind w:left="420" w:leftChars="200" w:firstLine="0" w:firstLineChars="0"/>
        <w:rPr>
          <w:rFonts w:hint="default" w:ascii="Times New Roman" w:hAnsi="Times New Roman" w:cs="Times New Roman" w:eastAsiaTheme="minorEastAsia"/>
          <w:b w:val="0"/>
          <w:bCs/>
          <w:szCs w:val="21"/>
        </w:rPr>
      </w:pPr>
      <w:r>
        <w:rPr>
          <w:rFonts w:hint="default" w:ascii="Times New Roman" w:hAnsi="Times New Roman" w:cs="Times New Roman" w:eastAsiaTheme="minorEastAsia"/>
          <w:b w:val="0"/>
          <w:bCs/>
          <w:szCs w:val="21"/>
        </w:rPr>
        <w:t>2.熟悉</w:t>
      </w:r>
      <w:bookmarkStart w:id="22" w:name="OLE_LINK18"/>
      <w:r>
        <w:rPr>
          <w:rFonts w:hint="default" w:ascii="Times New Roman" w:hAnsi="Times New Roman" w:cs="Times New Roman" w:eastAsiaTheme="minorEastAsia"/>
          <w:b w:val="0"/>
          <w:bCs/>
          <w:szCs w:val="21"/>
        </w:rPr>
        <w:t>抗体类药物物理化学检定、抗体类药物生物学检定</w:t>
      </w:r>
      <w:bookmarkEnd w:id="22"/>
      <w:r>
        <w:rPr>
          <w:rFonts w:hint="default" w:ascii="Times New Roman" w:hAnsi="Times New Roman" w:cs="Times New Roman" w:eastAsiaTheme="minorEastAsia"/>
          <w:b w:val="0"/>
          <w:bCs/>
          <w:szCs w:val="21"/>
        </w:rPr>
        <w:t>。</w:t>
      </w:r>
    </w:p>
    <w:p>
      <w:pPr>
        <w:spacing w:line="360" w:lineRule="exact"/>
        <w:ind w:left="420" w:leftChars="200" w:firstLine="0" w:firstLineChars="0"/>
        <w:rPr>
          <w:rFonts w:hint="default" w:ascii="Times New Roman" w:hAnsi="Times New Roman" w:cs="Times New Roman" w:eastAsiaTheme="minorEastAsia"/>
          <w:b w:val="0"/>
          <w:bCs/>
          <w:szCs w:val="21"/>
          <w:lang w:val="en-US" w:eastAsia="zh-CN"/>
        </w:rPr>
      </w:pPr>
      <w:r>
        <w:rPr>
          <w:rFonts w:hint="default" w:ascii="Times New Roman" w:hAnsi="Times New Roman" w:cs="Times New Roman" w:eastAsiaTheme="minorEastAsia"/>
          <w:b w:val="0"/>
          <w:bCs/>
          <w:szCs w:val="21"/>
        </w:rPr>
        <w:t>3.了解抗体类药物的发展概况和进展</w:t>
      </w:r>
      <w:r>
        <w:rPr>
          <w:rFonts w:hint="default" w:ascii="Times New Roman" w:hAnsi="Times New Roman" w:cs="Times New Roman" w:eastAsiaTheme="minorEastAsia"/>
          <w:b w:val="0"/>
          <w:bCs/>
          <w:szCs w:val="21"/>
          <w:lang w:eastAsia="zh-CN"/>
        </w:rPr>
        <w:t>，</w:t>
      </w:r>
      <w:r>
        <w:rPr>
          <w:rFonts w:hint="default" w:ascii="Times New Roman" w:hAnsi="Times New Roman" w:cs="Times New Roman" w:eastAsiaTheme="minorEastAsia"/>
          <w:b w:val="0"/>
          <w:bCs/>
          <w:szCs w:val="21"/>
        </w:rPr>
        <w:t>抗体类药物质量监控的目的与意义</w:t>
      </w:r>
      <w:r>
        <w:rPr>
          <w:rFonts w:hint="default" w:ascii="Times New Roman" w:hAnsi="Times New Roman" w:cs="Times New Roman" w:eastAsiaTheme="minorEastAsia"/>
          <w:b w:val="0"/>
          <w:bCs/>
          <w:szCs w:val="21"/>
          <w:lang w:eastAsia="zh-CN"/>
        </w:rPr>
        <w:t>，</w:t>
      </w:r>
      <w:r>
        <w:rPr>
          <w:rFonts w:hint="default" w:ascii="Times New Roman" w:hAnsi="Times New Roman" w:cs="Times New Roman" w:eastAsiaTheme="minorEastAsia"/>
          <w:b w:val="0"/>
          <w:bCs/>
          <w:szCs w:val="21"/>
        </w:rPr>
        <w:t>抗体类药物的用途，《中国药典》对抗体类药物的质控要求。</w:t>
      </w: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【重点和难点】</w:t>
      </w:r>
    </w:p>
    <w:p>
      <w:pPr>
        <w:spacing w:line="400" w:lineRule="exact"/>
        <w:ind w:left="315" w:hanging="315" w:hangingChars="150"/>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1、</w:t>
      </w:r>
      <w:r>
        <w:rPr>
          <w:rFonts w:hint="default" w:ascii="Times New Roman" w:hAnsi="Times New Roman" w:cs="Times New Roman" w:eastAsiaTheme="minorEastAsia"/>
          <w:b w:val="0"/>
          <w:bCs/>
          <w:szCs w:val="21"/>
        </w:rPr>
        <w:t>抗体类药物物理化学检定、抗体类药物生物学检定</w:t>
      </w: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2、</w:t>
      </w:r>
      <w:r>
        <w:rPr>
          <w:rFonts w:hint="default" w:ascii="Times New Roman" w:hAnsi="Times New Roman" w:cs="Times New Roman" w:eastAsiaTheme="minorEastAsia"/>
          <w:b w:val="0"/>
          <w:bCs/>
          <w:szCs w:val="21"/>
        </w:rPr>
        <w:t>抗体类药物质量监控的要点</w:t>
      </w: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3、</w:t>
      </w:r>
      <w:r>
        <w:rPr>
          <w:rFonts w:hint="default" w:ascii="Times New Roman" w:hAnsi="Times New Roman" w:cs="Times New Roman" w:eastAsiaTheme="minorEastAsia"/>
          <w:b w:val="0"/>
          <w:bCs/>
          <w:szCs w:val="21"/>
        </w:rPr>
        <w:t>抗体类药物的用途，《中国药典》对抗体类药物的质控要求</w:t>
      </w: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【教学内容】</w:t>
      </w:r>
    </w:p>
    <w:p>
      <w:pPr>
        <w:numPr>
          <w:ilvl w:val="-1"/>
          <w:numId w:val="0"/>
        </w:numPr>
        <w:adjustRightInd w:val="0"/>
        <w:snapToGrid w:val="0"/>
        <w:spacing w:line="400" w:lineRule="exact"/>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t>第一节-抗体类药物的概述</w:t>
      </w:r>
    </w:p>
    <w:p>
      <w:pPr>
        <w:numPr>
          <w:ilvl w:val="-1"/>
          <w:numId w:val="0"/>
        </w:numPr>
        <w:adjustRightInd w:val="0"/>
        <w:snapToGrid w:val="0"/>
        <w:spacing w:line="400" w:lineRule="exact"/>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t>第二节-抗体类药物的质量监控</w:t>
      </w:r>
    </w:p>
    <w:p>
      <w:pPr>
        <w:numPr>
          <w:ilvl w:val="-1"/>
          <w:numId w:val="0"/>
        </w:numPr>
        <w:adjustRightInd w:val="0"/>
        <w:snapToGrid w:val="0"/>
        <w:spacing w:line="400" w:lineRule="exact"/>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Cs w:val="21"/>
          <w:lang w:val="en-US" w:eastAsia="zh-CN"/>
          <w14:textFill>
            <w14:solidFill>
              <w14:schemeClr w14:val="tx1"/>
            </w14:solidFill>
          </w14:textFill>
        </w:rPr>
        <w:t>第三节-应用实例</w:t>
      </w:r>
    </w:p>
    <w:p>
      <w:pPr>
        <w:spacing w:line="400" w:lineRule="exact"/>
        <w:rPr>
          <w:rFonts w:hint="default" w:ascii="Times New Roman" w:hAnsi="Times New Roman" w:cs="Times New Roman" w:eastAsiaTheme="minorEastAsia"/>
          <w:b w:val="0"/>
          <w:bCs/>
          <w:color w:val="000000" w:themeColor="text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b w:val="0"/>
          <w:bCs/>
          <w:color w:val="000000" w:themeColor="text1"/>
          <w:sz w:val="24"/>
          <w14:textFill>
            <w14:solidFill>
              <w14:schemeClr w14:val="tx1"/>
            </w14:solidFill>
          </w14:textFill>
        </w:rPr>
      </w:pPr>
      <w:r>
        <w:rPr>
          <w:rFonts w:hint="default" w:ascii="Times New Roman" w:hAnsi="Times New Roman" w:cs="Times New Roman" w:eastAsiaTheme="minorEastAsia"/>
          <w:b w:val="0"/>
          <w:bCs/>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b w:val="0"/>
          <w:bCs/>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val="0"/>
          <w:bCs/>
          <w:color w:val="000000" w:themeColor="text1"/>
          <w:kern w:val="0"/>
          <w:szCs w:val="21"/>
          <w14:textFill>
            <w14:solidFill>
              <w14:schemeClr w14:val="tx1"/>
            </w14:solidFill>
          </w14:textFill>
        </w:rPr>
      </w:pPr>
      <w:r>
        <w:rPr>
          <w:rFonts w:hint="default" w:ascii="Times New Roman" w:hAnsi="Times New Roman" w:cs="Times New Roman" w:eastAsiaTheme="minorEastAsia"/>
          <w:b w:val="0"/>
          <w:bCs/>
          <w:color w:val="000000" w:themeColor="text1"/>
          <w14:textFill>
            <w14:solidFill>
              <w14:schemeClr w14:val="tx1"/>
            </w14:solidFill>
          </w14:textFill>
        </w:rPr>
        <w:t>教学具体过程：</w:t>
      </w:r>
    </w:p>
    <w:p>
      <w:pPr>
        <w:numPr>
          <w:ilvl w:val="-1"/>
          <w:numId w:val="0"/>
        </w:numPr>
        <w:adjustRightInd w:val="0"/>
        <w:snapToGrid w:val="0"/>
        <w:spacing w:line="360" w:lineRule="exact"/>
        <w:ind w:firstLine="480" w:firstLineChars="200"/>
        <w:jc w:val="cente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sz w:val="24"/>
          <w:szCs w:val="24"/>
          <w:lang w:val="en-US" w:eastAsia="zh-CN"/>
          <w14:textFill>
            <w14:solidFill>
              <w14:schemeClr w14:val="tx1"/>
            </w14:solidFill>
          </w14:textFill>
        </w:rPr>
        <w:t>第一节-抗体类药物的概述</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一、抗体类药物的概念、分类及用途</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(一)概念</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药物是以细胞工程技术和基因工程技术为主体的抗体工程技术制备的药物，具有特异性高、性质均一、可针对特定靶点定向制备等优点，在各种疾病治疗、特别是对肿瘤治疗的应用前景备受关注。当前，抗体药物的研究与开发已成为生物制药领域研究的热点，居近年来所有医药生物技术产品之首。</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(二)分类及用途</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目前抗体类药物可依据不同的分类方法加以分类。若按照抗体的来源可分为人源抗体和动物来源抗体；根据有效成分可分为抗体与免疫偶联物，其中抗体又可分为完全抗体、双特异性抗体、抗体片段与基因工程抗体片段；免疫偶联物则可分为放射免疫偶联物、化学免疫偶联物和免疫毒素；在实际工作中一般按照抗体的构成、组成成分、制备原理分为多克隆抗体，单克隆抗体，基因工程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1.多克隆抗体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多克隆抗体有两层含义:首先是指由含有多抗原表位大分子抗原刺激产生的、识别不同抗原表位的各种抗体；其次是指由体内不同淋巴细胞产生的、可针对同一抗原表位的多克隆抗体。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2.单克隆抗体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单克隆抗体是指仅识别抗原分子上同一抗原表位的由同一克隆细胞产生的抗体。单克隆抗体的最大特点是特异性高、均一性好，产品质量易于控制，是目前抗体分子学研究及应用研究领域备受重视的分子，亦被广泛地应用于检测和医疗领域。</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3.基因工程抗体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基因工程抗体是利用DNA重组技术，通过对抗体分子基因结构与功能的了解，有目的地在基因水平上对抗体分子进行切割、拼接或修饰，或者直接合成基因序列，再将基因导入细胞表达产生的一类抗体。这类抗体虽然在化学结构特点上相同于单克隆抗体，但其摆脱了传统的细胞水平，而是在分子的基因水平上进行研究。基因工程抗体的研究主要包括对鼠源单克隆抗体人源化改造、小分子抗体、人源性抗体、双(多)价及双特异抗体、抗体融合蛋白等的开发研究，并不断有产品被批准上市，如尼妥珠单抗注射液、曲妥珠单抗注射液等。</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二、抗体类药物的发展概况和进展</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第一代抗体类药物，其药物源于动物多价血清，主要用于一些细菌感染性疾病的早期被动免疫治疗。</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第二代抗体药物是利用杂交瘤技术制备的单克隆抗体及其衍生物。939年Tiselius等人发现了抗体结构域，1958年Rodney对于抗体Fab和Fc片段的发现，以及1959年Porter 和Edelman对抗体结构的进一步解析，使得抗体结构在人类面前彻底地被揭开了面纱。以此为基础，1975年Milstein等人建立了B淋巴细胞杂交瘤技术，这是抗体研究历史上的重大技术革命。这一技术使得人类制造更加高效、特异的单克降抗体成为可能。所以在随后的几年里，许多抗体类药物进入研发与临床研究阶段。1986年，第一种符合现代医学标准的治疗性抗体Orthoclone OKT3上市。随后，用于治疗各种疾病的治疗性抗体如雨后春笋般面世。</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第三代</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抗体药物</w:t>
      </w:r>
      <w:r>
        <w:rPr>
          <w:rFonts w:hint="default" w:ascii="Times New Roman" w:hAnsi="Times New Roman" w:cs="Times New Roman" w:eastAsiaTheme="minorEastAsia"/>
          <w:b w:val="0"/>
          <w:bCs/>
          <w:color w:val="000000" w:themeColor="text1"/>
          <w:kern w:val="0"/>
          <w:sz w:val="24"/>
          <w14:textFill>
            <w14:solidFill>
              <w14:schemeClr w14:val="tx1"/>
            </w14:solidFill>
          </w14:textFill>
        </w:rPr>
        <w:t>，即基因工程抗体</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药物</w:t>
      </w:r>
      <w:r>
        <w:rPr>
          <w:rFonts w:hint="default" w:ascii="Times New Roman" w:hAnsi="Times New Roman" w:cs="Times New Roman" w:eastAsiaTheme="minorEastAsia"/>
          <w:b w:val="0"/>
          <w:bCs/>
          <w:color w:val="000000" w:themeColor="text1"/>
          <w:kern w:val="0"/>
          <w:sz w:val="24"/>
          <w14:textFill>
            <w14:solidFill>
              <w14:schemeClr w14:val="tx1"/>
            </w14:solidFill>
          </w14:textFill>
        </w:rPr>
        <w:t>。DNA重组技术开始用于抗体的改造，人们可以根据需要对以往的鼠抗体进行相应的改造，以消除抗体应用不利性状或增加新的生物学功能，还可用新的技术重新制备各种形式的重组抗体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三、抗体类药物质量监控的目的与意义</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与其他类药物的质量监控类似，抗体类药物作为药物的一种，必须符合安全有效的原</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则。</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相对于传统药物，抗体类药物的主要有效成分是蛋白质，而蛋白质类产品在稳定性、生物活性、有效期、纯度等方面均有着更加苛刻的要求。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p>
    <w:p>
      <w:pPr>
        <w:spacing w:line="360" w:lineRule="exact"/>
        <w:ind w:firstLine="480" w:firstLineChars="200"/>
        <w:jc w:val="center"/>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第二节抗体类药物的质量监控</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一、抗体类药物的质量监控要点</w:t>
      </w:r>
    </w:p>
    <w:p>
      <w:pPr>
        <w:spacing w:line="360" w:lineRule="exact"/>
        <w:ind w:firstLine="0" w:firstLineChars="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类药物的质量监控与药物本身的特性密切相关。首先，抗体类药物因其本身的独特性而具有复杂的质量属性，其生产质量监控必须建立在充分了解产品质量属性的基础上，并以此确认产品的关键质量属性从而加以监控；其次，作为一种生物制品类药物，抗体类药物还应按照《生物制品生产用原材料及辅料质量控制规程》进行监控；此外，抗体类药物还应符合生物制品分批、分装、冻干以及包装相关规程的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(一)抗体类药物质量监控的基本要求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由于抗体类药物复杂的质量属性，故而其质量监控需要以“质量源于设计”“风险评估”的原则和理念，制定相应的质量控制策略，并通过建立有效的质量管理体系，保证产品质量可控。抗体类药物的制造主要包括基因克隆、表达载体的制备、工程细胞的筛选及细胞库的建立、发酵或细胞培养及收获、目标蛋白的提取、纯化和制剂等过程。细胞株的来源、管理及检定应符合“生物制品生产检定用菌毒种管理规程”和“生物制品生产检定用动物细胞基质制备及检定规程”的相关要求。生产质量管理应符合现行版《药品生产质量管理规范》的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1.工艺验证</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应采用经验证的生产工艺进行生产，并依据产品的关键质量属性，确定关键工艺参数及其范围，以确保工艺过程的重现性以及产品质量的批间一致性。</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生产工艺验证应至少包括生产工艺的一致性、感染性因子灭活或去除、非内毒素热原、产品相关杂质和工艺相关杂质的去除、纯化用材料(如色谱柱填料)的重复使用性的可接受限度、产品质量属性批间一致性、抗体偶联药物的偶联方法</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2.特性分析</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应采用现有先进的分析手段，从物理化学、免疫学、生物学等角度对产品进行全面的分析，并提供尽可能详尽的信息以反映目标产品内在的天然质量属性。</w:t>
      </w:r>
    </w:p>
    <w:p>
      <w:pPr>
        <w:numPr>
          <w:ilvl w:val="-1"/>
          <w:numId w:val="0"/>
        </w:numPr>
        <w:spacing w:line="360" w:lineRule="exact"/>
        <w:ind w:firstLine="240" w:firstLineChars="1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3.</w:t>
      </w:r>
      <w:r>
        <w:rPr>
          <w:rFonts w:hint="default" w:ascii="Times New Roman" w:hAnsi="Times New Roman" w:cs="Times New Roman" w:eastAsiaTheme="minorEastAsia"/>
          <w:b w:val="0"/>
          <w:bCs/>
          <w:color w:val="000000" w:themeColor="text1"/>
          <w:kern w:val="0"/>
          <w:sz w:val="24"/>
          <w14:textFill>
            <w14:solidFill>
              <w14:schemeClr w14:val="tx1"/>
            </w14:solidFill>
          </w14:textFill>
        </w:rPr>
        <w:t>生物学活性测定</w:t>
      </w:r>
    </w:p>
    <w:p>
      <w:pPr>
        <w:numPr>
          <w:ilvl w:val="-1"/>
          <w:numId w:val="0"/>
        </w:numPr>
        <w:spacing w:line="360" w:lineRule="exact"/>
        <w:ind w:firstLine="240" w:firstLineChars="1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依据单克隆抗体预期的作用机制或模式(不限于一种),建立相应生物学分析方法。</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 xml:space="preserve">4.参比品  </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选择已证明足够稳定且适合临床试验的一个/多个批次,或用一个代表批次作为参比品，用于鉴别、理化和生物学活性等各种分析，并应按特性分析要求进行全面分析鉴定。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5.中间工艺</w:t>
      </w:r>
      <w:r>
        <w:rPr>
          <w:rFonts w:hint="default" w:ascii="Times New Roman" w:hAnsi="Times New Roman" w:cs="Times New Roman" w:eastAsiaTheme="minorEastAsia"/>
          <w:b w:val="0"/>
          <w:bCs/>
          <w:color w:val="000000" w:themeColor="text1"/>
          <w:kern w:val="0"/>
          <w:sz w:val="24"/>
          <w14:textFill>
            <w14:solidFill>
              <w14:schemeClr w14:val="tx1"/>
            </w14:solidFill>
          </w14:textFill>
        </w:rPr>
        <w:t xml:space="preserve"> </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生产工艺的设定应优先采用连续不间断的生产方式，如需储存中间产物，应对中间产物的贮存条件进行验证，证明该贮存条件不影响后续工艺用物料的质量指标和产品在有效期内的稳定性；所需验证通常包括将各中间产物置于拟设定的最苛刻的贮存条件下，至少应取三批由这些中间产物制成的成品进行加速稳定性和长期稳定性验证。</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6.批次的确定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制品批次的确定应符合“生物制品分批规程”,制品的批次应贯穿整个工艺过程并易于追溯，以保证每批制品的加工处理过程是一致的。</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7.工艺变更</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生产工艺变更应符合国家药品注册管理的相关要求。应对变更前后的产品进行比较和评估，以证明变更前后产品的特性高度相似，并确保任何质量属性方面的改变对产品安全性和有效性无负面影响。</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(二)抗体类药物制造的质量控制</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 xml:space="preserve">1.工程细胞的控制  </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应分别建立主细胞库、工作细胞库的两级管理细胞库。</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2.细胞培养和收获</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细胞培养和收获可采用限定细胞传代至与其稳定性相符的最高代次后，单次收获产物的方式；也可采用限定细胞培养时间连续传代培养并多次收获的方式。在整个培养过程中，两种方式均需监测细胞的生长状况，并根据生产系统的特点确定监测频率及检测指标。</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 xml:space="preserve">3.纯化  </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可将多次收获的产物合并后进行纯化。纯化工艺应经验证,以证明能够有效去除和/或灭活可能存在的感染性因子，并能将产品相关杂质与工艺相关杂质去除或降低至可接受的水平。</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4.原液</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纯化的单克隆抗体经无菌过滤分装于中间贮存容器中，即成为原液。原液的贮存应考虑原液与容器的相容性、原液的稳定性及保存时间，应通过验证确定贮存条件和有效期。</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5.半成品</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制备成品前，如需对原液进行稀释或加入其他辅料制成半成品，应确定半成品的质量控制要求，包括检定项目和可接受的标准。</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6.成品</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原液或半成品经除菌过滤后分装于无菌终容器中并经包装后即为成品。将分装后的无菌容器密封，以防污染，如需冷冻干燥，先进行冷冻干燥再密封。</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(三)抗体类药物生产用原材料及辅料的质量控制</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类药物的生产工艺复杂且易受多种因素影响，生产过程中使用的各种材料来源复杂，可能引入外源因子或毒性化学材料；产品组成成分复杂且一般不能进行终端灭菌，产品的质量控制仅靠成品检定难以保证其安全性和有效性。因此，对抗体类药物生产用原材料和辅料进行严格的质量控制，是降低制品中外源因子或有毒杂质污染风险，保证抗体类药物安全有效的必要措施。</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1.抗体类药物生产用原材料</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(1)分类</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按照来源可将生产用原材料分为两大类：一类为生物原材料，主要包括来源于微生物、人和动物的细胞、组织、体液成分以及采用重组技术或生物合成技术生产的生物原材料等；另一类为化学原材料，包括无机和有机化学材料。</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(2)风险等级分级及用于生产的质量控制要求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根据原材料的来源、生产以及对抗体类药物潜在的毒性和外源因子污染风险等将生产用原材料按风险级别从低到高分为以下四级，各级原材料至少应进行的质量控制要求。对于不同风险级别原材料的质量控制，应充分考虑来源于动物(或人)的生物原材料可能带来的外源因子污染的安全性风险。生产过程中应避免使用毒性较大的化学原材料，有机溶剂的使用应符合《中国药典》(2020 年版)通则“残留溶剂测定法”的相关要求。对于高风险等级的原材料，应在产品研发的早期评价使用这些原材料的必要性，并寻找其他替代物或替代来源。</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(3)残留物的去除及限度要求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生产用原材料的残留物可能因其直接的毒性反应、外源因子污染或有害的免疫应答，引发受者产生不良反应或影响产品效力，应采取相应措施对这些原材料予以去除和/或灭活，去除和/或灭活工艺应进行验证。应通过验证结果评价生产工艺对已知毒性原材料去除的一致性，或采用批放行检测，以证实所去除的毒性原材料已达到安全水平，残留有机溶剂应符合《中国药典》(2020年版)通则“残留溶剂测定法”的相关要求；应尽可能采用经去除和/或灭活外源因子的生物原材料，或通过验证结果评价生产工艺去除和/或灭活原材料中可能存在的外源因子、致病物质或者与该材料相关的特定污染物的一致性，以确保产品的安全性。</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2.抗体类药物生产用辅料</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(1)抗体类药物生产用常用辅料及分类</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根据用途可分为如下几类。①佐剂:是与一种疫苗抗原结合，以增强(如加强、加快和延长)其特异性免疫反应和疫苗临床效果的一种或多种成分混合的物质；②稳定剂或保护剂：用于稳定或保护其有效成分、防止其降解或失去活性的物质；③防腐剂：用于抑制微生物生长、防止微生物污染的物质；④赋形剂：用于冻干制品中使药品成型、起支架作用的物质；⑤助溶剂：用于增加药品溶解性的物质；⑥矫味剂：用于改善口服药品口感的物质；⑦稀释剂、缓冲剂：用于溶解、稀释制品，调整制品酸碱度的溶剂，如注射用水、氯化钠注射液、磷酸盐缓冲液(PBS)等。</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(2)风险等级分级及用于生产的质量控制要求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根据辅料的来源、生产以及对抗体类药物潜在的毒性和安全性的影响等将辅料按风险级别从低到高分为四级，各级抗体类药物辅料至少应进行的质量控制</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(3)辅料限度控制</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应根据抗体类药物制剂工艺和产品的安全性、有效性研究结果，以发挥有效作用的最小加量确定制剂配方中辅料的加量。</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(四)抗体类药物分批、分装、冻干以及包装的质量控制</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1.抗体类药物分批规程</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抗体类药物分批规程具体内容如下：批号系用以区分和识别产品批的标志。为避免混淆和误差，各抗体类药物之成品均应按照本规程分批和编批。有专门规定者除外。</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2.抗体类药物分装和冻干规程</w:t>
      </w:r>
    </w:p>
    <w:p>
      <w:pPr>
        <w:keepNext w:val="0"/>
        <w:keepLines w:val="0"/>
        <w:widowControl/>
        <w:suppressLineNumbers w:val="0"/>
        <w:ind w:firstLine="480" w:firstLineChars="200"/>
        <w:jc w:val="left"/>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抗体类药物分装和冻干规程具体内容</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包括：</w:t>
      </w:r>
      <w:r>
        <w:rPr>
          <w:rFonts w:hint="default" w:ascii="Times New Roman" w:hAnsi="Times New Roman" w:cs="Times New Roman" w:eastAsiaTheme="minorEastAsia"/>
          <w:b w:val="0"/>
          <w:bCs/>
          <w:color w:val="000000" w:themeColor="text1"/>
          <w:kern w:val="0"/>
          <w:sz w:val="24"/>
          <w14:textFill>
            <w14:solidFill>
              <w14:schemeClr w14:val="tx1"/>
            </w14:solidFill>
          </w14:textFill>
        </w:rPr>
        <w:t>(1)质量保证部门认可</w:t>
      </w:r>
      <w:r>
        <w:rPr>
          <w:rFonts w:hint="default" w:ascii="Times New Roman" w:hAnsi="Times New Roman" w:cs="Times New Roman" w:eastAsiaTheme="minorEastAsia"/>
          <w:b w:val="0"/>
          <w:bCs/>
          <w:color w:val="000000" w:themeColor="text1"/>
          <w:kern w:val="0"/>
          <w:sz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szCs w:val="24"/>
          <w:lang w:val="en-US" w:eastAsia="zh-CN" w:bidi="ar"/>
          <w14:textFill>
            <w14:solidFill>
              <w14:schemeClr w14:val="tx1"/>
            </w14:solidFill>
          </w14:textFill>
        </w:rPr>
        <w:t>(2)分装、冻干用容器及用具、(3)分装、冻干车间及设施、(4)人员直接参加分装、冻干的人员，每年至少应做一次健康检查、(5)待分装半成品的规定、(6)分装要求、(7)冻干要求、(8)分装、冻干卡片和记录、(9)抽样、检定分装、冻干后制品应每批抽样进行全检。</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3.抗体类药物包装规程</w:t>
      </w:r>
    </w:p>
    <w:p>
      <w:pPr>
        <w:keepNext w:val="0"/>
        <w:keepLines w:val="0"/>
        <w:widowControl/>
        <w:suppressLineNumbers w:val="0"/>
        <w:ind w:firstLine="480" w:firstLineChars="200"/>
        <w:jc w:val="left"/>
        <w:rPr>
          <w:rFonts w:hint="default" w:ascii="Times New Roman" w:hAnsi="Times New Roman" w:cs="Times New Roman" w:eastAsiaTheme="minorEastAsia"/>
          <w:b w:val="0"/>
          <w:bCs/>
          <w:color w:val="000000" w:themeColor="text1"/>
          <w:kern w:val="0"/>
          <w:sz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抗体类药物包装规程具体内容</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主要包括：</w:t>
      </w:r>
      <w:r>
        <w:rPr>
          <w:rFonts w:hint="default" w:ascii="Times New Roman" w:hAnsi="Times New Roman" w:cs="Times New Roman" w:eastAsiaTheme="minorEastAsia"/>
          <w:b w:val="0"/>
          <w:bCs/>
          <w:color w:val="000000" w:themeColor="text1"/>
          <w:kern w:val="0"/>
          <w:sz w:val="24"/>
          <w:szCs w:val="24"/>
          <w:lang w:val="en-US" w:eastAsia="zh-CN" w:bidi="ar"/>
          <w14:textFill>
            <w14:solidFill>
              <w14:schemeClr w14:val="tx1"/>
            </w14:solidFill>
          </w14:textFill>
        </w:rPr>
        <w:t>(1)总则、(2)透视检查、(3)标签、(4)包装、(5)药品说明书</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二、抗体类药物的物理化学检定</w:t>
      </w:r>
    </w:p>
    <w:p>
      <w:pPr>
        <w:keepNext w:val="0"/>
        <w:keepLines w:val="0"/>
        <w:widowControl/>
        <w:suppressLineNumbers w:val="0"/>
        <w:jc w:val="left"/>
        <w:rPr>
          <w:rFonts w:hint="default" w:ascii="Times New Roman" w:hAnsi="Times New Roman" w:cs="Times New Roman" w:eastAsiaTheme="minorEastAsia"/>
          <w:b w:val="0"/>
          <w:bCs/>
          <w:lang w:val="en-US"/>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根据抗体类药物关键质量属性、对产品和工艺理解认识的积累和风险评估的原则，制定相应质量控制策略。物理化学检定采用的检测方法应经验证并符合要求。纳人质量标准的检定项目、可接受标准限度，应结合来自于临床前和/或临床研究时多批样品的数据、用于证明生产一致性批次的数据、稳定性等研究数据来综合确定。抗体类药物的物理化学检定应至少包括</w:t>
      </w:r>
      <w:r>
        <w:rPr>
          <w:rFonts w:hint="default" w:ascii="Times New Roman" w:hAnsi="Times New Roman" w:cs="Times New Roman" w:eastAsiaTheme="minorEastAsia"/>
          <w:b w:val="0"/>
          <w:bCs/>
          <w:color w:val="000000" w:themeColor="text1"/>
          <w:kern w:val="0"/>
          <w:sz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1）鉴别、（2）糖基化修饰分析、（3）</w:t>
      </w:r>
      <w:r>
        <w:rPr>
          <w:rFonts w:hint="default" w:ascii="Times New Roman" w:hAnsi="Times New Roman" w:cs="Times New Roman" w:eastAsiaTheme="minorEastAsia"/>
          <w:b w:val="0"/>
          <w:bCs/>
          <w:color w:val="000000" w:themeColor="text1"/>
          <w:kern w:val="0"/>
          <w:sz w:val="24"/>
          <w14:textFill>
            <w14:solidFill>
              <w14:schemeClr w14:val="tx1"/>
            </w14:solidFill>
          </w14:textFill>
        </w:rPr>
        <w:t>分子量大小变异体</w:t>
      </w:r>
      <w:r>
        <w:rPr>
          <w:rFonts w:hint="default" w:ascii="Times New Roman" w:hAnsi="Times New Roman" w:cs="Times New Roman" w:eastAsiaTheme="minorEastAsia"/>
          <w:b w:val="0"/>
          <w:bCs/>
          <w:color w:val="000000" w:themeColor="text1"/>
          <w:kern w:val="0"/>
          <w:sz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4）</w:t>
      </w:r>
      <w:r>
        <w:rPr>
          <w:rFonts w:hint="default" w:ascii="Times New Roman" w:hAnsi="Times New Roman" w:cs="Times New Roman" w:eastAsiaTheme="minorEastAsia"/>
          <w:b w:val="0"/>
          <w:bCs/>
          <w:color w:val="000000" w:themeColor="text1"/>
          <w:kern w:val="0"/>
          <w:sz w:val="24"/>
          <w:szCs w:val="24"/>
          <w:lang w:val="en-US" w:eastAsia="zh-CN" w:bidi="ar"/>
          <w14:textFill>
            <w14:solidFill>
              <w14:schemeClr w14:val="tx1"/>
            </w14:solidFill>
          </w14:textFill>
        </w:rPr>
        <w:t>电荷变异体、（5）</w:t>
      </w:r>
      <w:r>
        <w:rPr>
          <w:rFonts w:hint="default" w:ascii="Times New Roman" w:hAnsi="Times New Roman" w:cs="Times New Roman" w:eastAsiaTheme="minorEastAsia"/>
          <w:b w:val="0"/>
          <w:bCs/>
          <w:color w:val="000000" w:themeColor="text1"/>
          <w:kern w:val="0"/>
          <w:sz w:val="24"/>
          <w:lang w:bidi="ar"/>
          <w14:textFill>
            <w14:solidFill>
              <w14:schemeClr w14:val="tx1"/>
            </w14:solidFill>
          </w14:textFill>
        </w:rPr>
        <w:t>制品相关杂质</w:t>
      </w:r>
      <w:r>
        <w:rPr>
          <w:rFonts w:hint="default" w:ascii="Times New Roman" w:hAnsi="Times New Roman" w:cs="Times New Roman" w:eastAsiaTheme="minorEastAsia"/>
          <w:b w:val="0"/>
          <w:bCs/>
          <w:color w:val="000000" w:themeColor="text1"/>
          <w:kern w:val="0"/>
          <w:sz w:val="24"/>
          <w:szCs w:val="24"/>
          <w:lang w:eastAsia="zh-CN" w:bidi="ar"/>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szCs w:val="24"/>
          <w:lang w:val="en-US" w:eastAsia="zh-CN" w:bidi="ar"/>
          <w14:textFill>
            <w14:solidFill>
              <w14:schemeClr w14:val="tx1"/>
            </w14:solidFill>
          </w14:textFill>
        </w:rPr>
        <w:t>6）工艺相关杂质</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、（7）含量、（8）外观及性状、（9）</w:t>
      </w:r>
      <w:r>
        <w:rPr>
          <w:rFonts w:hint="default" w:ascii="Times New Roman" w:hAnsi="Times New Roman" w:cs="Times New Roman" w:eastAsiaTheme="minorEastAsia"/>
          <w:b w:val="0"/>
          <w:bCs/>
          <w:color w:val="000000" w:themeColor="text1"/>
          <w:kern w:val="0"/>
          <w:sz w:val="24"/>
          <w:szCs w:val="24"/>
          <w:lang w:val="en-US" w:eastAsia="zh-CN" w:bidi="ar"/>
          <w14:textFill>
            <w14:solidFill>
              <w14:schemeClr w14:val="tx1"/>
            </w14:solidFill>
          </w14:textFill>
        </w:rPr>
        <w:t>复溶时间、（10）pH值、（11）渗透压、（12）装量/装量差异、（13）不溶性微粒检查、（14）可见异物检查、（15）水分测定、（16）无菌检查、（17）细菌内毒素检查、（18）异常毒性检查。</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三、抗体类药物的生物学检定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(一)抗体生物学活性检定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由于目前抗体类药物种类较多，因此抗体生物学活性检定需要依据不同抗体，其本身预期、潜在的作用机制和工作模式(可能不限于一种)的不同，采用相应的生物学测定方法(如固相酶联免疫法或放射免疫法)和数据分析模式，并将供试品与参比品进行比较。</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而各种单抗类药物或者基因工程抗体类药物，往往是针对某一种细胞，因此其生物学活性的测定多根据目的效应细胞在药物与对照品中生长情况的差异来判断药物的生物学活性。因此，对于抗体类药物生物学活性检定的具体方法，将根据具体实例中相应的内容进行介绍。</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(二)抗体结合活性检定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与抗体的生物学活性检定相同，抗体结合活性的检定也应依据抗体预期的作用靶点和作用机制，采用相应的结合活性测定方法和数据分析模式，并将供试品与参比品进行比较。目前用以检测抗体结合力的方法主要有：电泳条带迁移法、竞争ELISA法、表面等离子共振法、噬菌体抗体片段亲和力的石英晶体微天平测定法、硫氰酸盐洗脱法等多种方法，但是使用最为广泛、操作简便可靠的是竞争ELISA法。</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p>
    <w:p>
      <w:pPr>
        <w:spacing w:line="360" w:lineRule="exact"/>
        <w:ind w:firstLine="480" w:firstLineChars="200"/>
        <w:jc w:val="cente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第三节 应用实例</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一、破伤风人免疫球蛋白</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破伤风是一种极为严重的疾病，病死率高，其病因通常是破伤风杆菌经由皮肤或黏膜伤口侵入人体并在缺氧环境下生长繁殖、产生毒素而引起阵发性肌痉挛的一种特异性感染。除了可能发生在各种创伤后，还可能发生于不洁条件下分娩的产妇和新生儿。破伤风典型症状是在肌紧张性收缩(肌强直、发硬)的基础上，阵发性强烈痉挛，形成“角弓反张”或“侧弓反张”,可出现呼吸暂停，严重者可导致患者死亡。上述症状发作可因轻微的刺激，如光、声、接触、饮水等而诱发。</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破伤风人免疫球蛋白系用人用破伤风疫苗免疫供血浆者，采集含高效价破伤风抗体的血浆，经低温乙醇蛋白质分离法，或经批准的其他分离法分离纯化，并经病毒灭活处理制成。含适宜稳定剂，不含防腐剂和抗生素。</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(一)基本要求</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生产和检定用设施、原料及辅料、水、器具、动物等应符合“药典凡例”的有关要求。生产过程中不得加入防腐剂或抗生素。</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(二)制造</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制造主要包括：</w:t>
      </w:r>
      <w:r>
        <w:rPr>
          <w:rFonts w:hint="default" w:ascii="Times New Roman" w:hAnsi="Times New Roman" w:cs="Times New Roman" w:eastAsiaTheme="minorEastAsia"/>
          <w:b w:val="0"/>
          <w:bCs/>
          <w:color w:val="000000" w:themeColor="text1"/>
          <w:kern w:val="0"/>
          <w:sz w:val="24"/>
          <w14:textFill>
            <w14:solidFill>
              <w14:schemeClr w14:val="tx1"/>
            </w14:solidFill>
          </w14:textFill>
        </w:rPr>
        <w:t>1.原料血浆</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的制取、2.原液获得、3.获得半成品、4.成品获得、5.对成品进行病毒去除和灭活等步骤。</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三）鉴定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鉴定主要针对对获得的原液的鉴定、半成品与成品的检验等三步。</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（四）</w:t>
      </w:r>
      <w:r>
        <w:rPr>
          <w:rFonts w:hint="default" w:ascii="Times New Roman" w:hAnsi="Times New Roman" w:cs="Times New Roman" w:eastAsiaTheme="minorEastAsia"/>
          <w:b w:val="0"/>
          <w:bCs/>
          <w:color w:val="000000" w:themeColor="text1"/>
          <w:kern w:val="0"/>
          <w:sz w:val="24"/>
          <w14:textFill>
            <w14:solidFill>
              <w14:schemeClr w14:val="tx1"/>
            </w14:solidFill>
          </w14:textFill>
        </w:rPr>
        <w:t>保存、运输及有效期</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于2~8℃避光保存和运输。自生产之日起，按批准的有效期执行。</w:t>
      </w:r>
    </w:p>
    <w:p>
      <w:pPr>
        <w:spacing w:line="360" w:lineRule="exact"/>
        <w:ind w:firstLine="480" w:firstLineChars="200"/>
        <w:rPr>
          <w:rFonts w:hint="default" w:ascii="Times New Roman" w:hAnsi="Times New Roman" w:cs="Times New Roman" w:eastAsiaTheme="minorEastAsia"/>
          <w:b w:val="0"/>
          <w:bCs/>
          <w:color w:val="000000" w:themeColor="text1"/>
          <w:kern w:val="0"/>
          <w:sz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二、尼妥珠单抗注射液</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癌症是威胁人类生存的三大疾病之一，根据世界卫生组织预测，到2020年癌症将成为危害人类生命的第一杀手。传统治疗方案因化药的副作用大、易耐药而导致效果不佳，而抗肿瘤的抗体类药物的研发使得更安全有效的个体化治疗方案成为了可能。中国在这一领域起步较晚，现有抗体类药物多为国外进口。而2005年尼妥珠单抗注射液获得原国家食品药品监督管理局颁发的生物I类新药证书，填补了这一空白。尼妥珠单抗注射液是中国第一个抗癌单克隆抗体药，其针对鼻咽癌有较好的疗效。</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尼妥珠单抗注射液的有效成分为人源化抗表皮生长因子受体的单克隆抗体。表皮生长因子受体(EGFR)是介导上皮细胞线粒体效应的一种跨膜糖蛋白，在多种不同的人类肿瘤中都有过度表达，并与癌症的恶性程度和预后直接相关。</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(二)制造</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制造主要包括：</w:t>
      </w:r>
      <w:r>
        <w:rPr>
          <w:rFonts w:hint="default" w:ascii="Times New Roman" w:hAnsi="Times New Roman" w:cs="Times New Roman" w:eastAsiaTheme="minorEastAsia"/>
          <w:b w:val="0"/>
          <w:bCs/>
          <w:color w:val="000000" w:themeColor="text1"/>
          <w:kern w:val="0"/>
          <w:sz w:val="24"/>
          <w14:textFill>
            <w14:solidFill>
              <w14:schemeClr w14:val="tx1"/>
            </w14:solidFill>
          </w14:textFill>
        </w:rPr>
        <w:t>1.</w:t>
      </w:r>
      <w:r>
        <w:rPr>
          <w:rFonts w:hint="default" w:ascii="Times New Roman" w:hAnsi="Times New Roman" w:cs="Times New Roman" w:eastAsiaTheme="minorEastAsia"/>
          <w:b w:val="0"/>
          <w:bCs/>
          <w:color w:val="000000" w:themeColor="text1"/>
          <w:kern w:val="0"/>
          <w:sz w:val="24"/>
          <w:lang w:val="en-US" w:eastAsia="zh-CN"/>
          <w14:textFill>
            <w14:solidFill>
              <w14:schemeClr w14:val="tx1"/>
            </w14:solidFill>
          </w14:textFill>
        </w:rPr>
        <w:t>工程细胞制取、2.原液获得、3.获得半成品、4.成品获得。</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三）鉴定</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鉴定主要针对对获得的原液的鉴定、半成品与成品的检验等三步。</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（四）</w:t>
      </w:r>
      <w:r>
        <w:rPr>
          <w:rFonts w:hint="default" w:ascii="Times New Roman" w:hAnsi="Times New Roman" w:cs="Times New Roman" w:eastAsiaTheme="minorEastAsia"/>
          <w:b w:val="0"/>
          <w:bCs/>
          <w:color w:val="000000" w:themeColor="text1"/>
          <w:kern w:val="0"/>
          <w:sz w:val="24"/>
          <w14:textFill>
            <w14:solidFill>
              <w14:schemeClr w14:val="tx1"/>
            </w14:solidFill>
          </w14:textFill>
        </w:rPr>
        <w:t>保存、运输及有效期</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bCs/>
          <w:color w:val="000000" w:themeColor="text1"/>
          <w:kern w:val="0"/>
          <w:sz w:val="24"/>
          <w14:textFill>
            <w14:solidFill>
              <w14:schemeClr w14:val="tx1"/>
            </w14:solidFill>
          </w14:textFill>
        </w:rPr>
        <w:t>于2~8℃避光保存和运输。自生产之日起，按批准的有效期执行。</w:t>
      </w:r>
    </w:p>
    <w:p>
      <w:pPr>
        <w:spacing w:line="360" w:lineRule="exact"/>
        <w:ind w:firstLine="480" w:firstLineChars="200"/>
        <w:rPr>
          <w:rFonts w:hint="default" w:ascii="Times New Roman" w:hAnsi="Times New Roman" w:cs="Times New Roman" w:eastAsiaTheme="minorEastAsia"/>
          <w:b w:val="0"/>
          <w:bCs/>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bCs/>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bCs/>
          <w:color w:val="000000" w:themeColor="text1"/>
          <w:kern w:val="0"/>
          <w:sz w:val="24"/>
          <w:szCs w:val="24"/>
          <w:lang w:val="en-US" w:eastAsia="zh-CN"/>
          <w14:textFill>
            <w14:solidFill>
              <w14:schemeClr w14:val="tx1"/>
            </w14:solidFill>
          </w14:textFill>
        </w:rPr>
        <w:t>章节重点小结】</w:t>
      </w:r>
    </w:p>
    <w:p>
      <w:pPr>
        <w:spacing w:line="360" w:lineRule="exact"/>
        <w:ind w:firstLine="480" w:firstLineChars="200"/>
        <w:rPr>
          <w:rFonts w:hint="default" w:ascii="Times New Roman" w:hAnsi="Times New Roman" w:cs="Times New Roman" w:eastAsiaTheme="minorEastAsia"/>
          <w:b/>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09440" behindDoc="0" locked="0" layoutInCell="1" allowOverlap="1">
            <wp:simplePos x="0" y="0"/>
            <wp:positionH relativeFrom="column">
              <wp:posOffset>608965</wp:posOffset>
            </wp:positionH>
            <wp:positionV relativeFrom="paragraph">
              <wp:posOffset>44450</wp:posOffset>
            </wp:positionV>
            <wp:extent cx="3456305" cy="1886585"/>
            <wp:effectExtent l="0" t="0" r="1270" b="8890"/>
            <wp:wrapTopAndBottom/>
            <wp:docPr id="62" name="图片 6"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图片 6" descr="IMG_256"/>
                    <pic:cNvPicPr>
                      <a:picLocks noChangeAspect="1"/>
                    </pic:cNvPicPr>
                  </pic:nvPicPr>
                  <pic:blipFill>
                    <a:blip r:embed="rId56"/>
                    <a:stretch>
                      <a:fillRect/>
                    </a:stretch>
                  </pic:blipFill>
                  <pic:spPr>
                    <a:xfrm>
                      <a:off x="0" y="0"/>
                      <a:ext cx="3456305" cy="1886585"/>
                    </a:xfrm>
                    <a:prstGeom prst="rect">
                      <a:avLst/>
                    </a:prstGeom>
                    <a:noFill/>
                    <a:ln w="9525">
                      <a:noFill/>
                    </a:ln>
                  </pic:spPr>
                </pic:pic>
              </a:graphicData>
            </a:graphic>
          </wp:anchor>
        </w:drawing>
      </w:r>
    </w:p>
    <w:p>
      <w:pPr>
        <w:spacing w:line="360" w:lineRule="exact"/>
        <w:ind w:firstLine="482" w:firstLineChars="200"/>
        <w:rPr>
          <w:rFonts w:hint="default" w:ascii="Times New Roman" w:hAnsi="Times New Roman" w:cs="Times New Roman" w:eastAsiaTheme="minorEastAsia"/>
          <w:b/>
          <w:color w:val="000000" w:themeColor="text1"/>
          <w:kern w:val="0"/>
          <w:sz w:val="24"/>
          <w:szCs w:val="24"/>
          <w:lang w:val="en-US" w:eastAsia="zh-CN"/>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w:t>
      </w:r>
      <w:r>
        <w:rPr>
          <w:rFonts w:hint="default" w:ascii="Times New Roman" w:hAnsi="Times New Roman" w:cs="Times New Roman" w:eastAsiaTheme="minorEastAsia"/>
          <w:color w:val="000000" w:themeColor="text1"/>
          <w:lang w:val="en-US" w:eastAsia="zh-CN"/>
          <w14:textFill>
            <w14:solidFill>
              <w14:schemeClr w14:val="tx1"/>
            </w14:solidFill>
          </w14:textFill>
        </w:rPr>
        <w:t>抗体类药物</w:t>
      </w:r>
      <w:r>
        <w:rPr>
          <w:rFonts w:hint="default" w:ascii="Times New Roman" w:hAnsi="Times New Roman" w:cs="Times New Roman" w:eastAsiaTheme="minorEastAsia"/>
          <w:color w:val="000000" w:themeColor="text1"/>
          <w14:textFill>
            <w14:solidFill>
              <w14:schemeClr w14:val="tx1"/>
            </w14:solidFill>
          </w14:textFill>
        </w:rPr>
        <w:t>的分析。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2.试比较几种</w:t>
      </w:r>
      <w:r>
        <w:rPr>
          <w:rFonts w:hint="default" w:ascii="Times New Roman" w:hAnsi="Times New Roman" w:cs="Times New Roman" w:eastAsiaTheme="minorEastAsia"/>
          <w:color w:val="000000" w:themeColor="text1"/>
          <w:lang w:val="en-US" w:eastAsia="zh-CN"/>
          <w14:textFill>
            <w14:solidFill>
              <w14:schemeClr w14:val="tx1"/>
            </w14:solidFill>
          </w14:textFill>
        </w:rPr>
        <w:t>抗体类药物</w:t>
      </w:r>
      <w:r>
        <w:rPr>
          <w:rFonts w:hint="default" w:ascii="Times New Roman" w:hAnsi="Times New Roman" w:cs="Times New Roman" w:eastAsiaTheme="minorEastAsia"/>
          <w:color w:val="000000" w:themeColor="text1"/>
          <w14:textFill>
            <w14:solidFill>
              <w14:schemeClr w14:val="tx1"/>
            </w14:solidFill>
          </w14:textFill>
        </w:rPr>
        <w:t>。</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张怡轩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400" w:lineRule="exact"/>
        <w:rPr>
          <w:rFonts w:hint="default" w:ascii="Times New Roman" w:hAnsi="Times New Roman" w:cs="Times New Roman" w:eastAsiaTheme="minorEastAsia"/>
          <w:b/>
          <w:color w:val="000000" w:themeColor="text1"/>
          <w:kern w:val="0"/>
          <w:sz w:val="24"/>
          <w:szCs w:val="24"/>
          <w14:textFill>
            <w14:solidFill>
              <w14:schemeClr w14:val="tx1"/>
            </w14:solidFill>
          </w14:textFill>
        </w:rPr>
      </w:pPr>
    </w:p>
    <w:tbl>
      <w:tblPr>
        <w:tblStyle w:val="13"/>
        <w:tblpPr w:leftFromText="180" w:rightFromText="180" w:vertAnchor="text" w:horzAnchor="margin" w:tblpX="-509" w:tblpY="157"/>
        <w:tblW w:w="8901"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518"/>
        <w:gridCol w:w="2180"/>
        <w:gridCol w:w="1338"/>
        <w:gridCol w:w="1270"/>
        <w:gridCol w:w="1574"/>
        <w:gridCol w:w="102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518"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授课题目</w:t>
            </w:r>
          </w:p>
        </w:tc>
        <w:tc>
          <w:tcPr>
            <w:tcW w:w="3518" w:type="dxa"/>
            <w:gridSpan w:val="2"/>
            <w:vAlign w:val="center"/>
          </w:tcPr>
          <w:p>
            <w:pPr>
              <w:spacing w:line="40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第</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十四</w:t>
            </w:r>
            <w:r>
              <w:rPr>
                <w:rFonts w:hint="default" w:ascii="Times New Roman" w:hAnsi="Times New Roman" w:cs="Times New Roman" w:eastAsiaTheme="minorEastAsia"/>
                <w:color w:val="000000" w:themeColor="text1"/>
                <w:sz w:val="24"/>
                <w:szCs w:val="24"/>
                <w14:textFill>
                  <w14:solidFill>
                    <w14:schemeClr w14:val="tx1"/>
                  </w14:solidFill>
                </w14:textFill>
              </w:rPr>
              <w:t xml:space="preserve">章 </w:t>
            </w: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疫苗类</w:t>
            </w:r>
            <w:r>
              <w:rPr>
                <w:rFonts w:hint="default" w:ascii="Times New Roman" w:hAnsi="Times New Roman" w:cs="Times New Roman" w:eastAsiaTheme="minorEastAsia"/>
                <w:color w:val="000000" w:themeColor="text1"/>
                <w:sz w:val="24"/>
                <w:szCs w:val="24"/>
                <w14:textFill>
                  <w14:solidFill>
                    <w14:schemeClr w14:val="tx1"/>
                  </w14:solidFill>
                </w14:textFill>
              </w:rPr>
              <w:t>药物的分析</w:t>
            </w:r>
          </w:p>
        </w:tc>
        <w:tc>
          <w:tcPr>
            <w:tcW w:w="1270"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授课日期</w:t>
            </w:r>
          </w:p>
        </w:tc>
        <w:tc>
          <w:tcPr>
            <w:tcW w:w="2595" w:type="dxa"/>
            <w:gridSpan w:val="2"/>
            <w:vAlign w:val="center"/>
          </w:tcPr>
          <w:p>
            <w:pPr>
              <w:spacing w:line="40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202</w:t>
            </w:r>
            <w:r>
              <w:rPr>
                <w:rFonts w:hint="default" w:ascii="Times New Roman" w:hAnsi="Times New Roman" w:cs="Times New Roman" w:eastAsiaTheme="minorEastAsia"/>
                <w:b/>
                <w:color w:val="000000" w:themeColor="text1"/>
                <w:sz w:val="24"/>
                <w:szCs w:val="24"/>
                <w:lang w:val="en-US" w:eastAsia="zh-CN"/>
                <w14:textFill>
                  <w14:solidFill>
                    <w14:schemeClr w14:val="tx1"/>
                  </w14:solidFill>
                </w14:textFill>
              </w:rPr>
              <w:t>4</w:t>
            </w:r>
            <w:r>
              <w:rPr>
                <w:rFonts w:hint="default" w:ascii="Times New Roman" w:hAnsi="Times New Roman" w:cs="Times New Roman" w:eastAsiaTheme="minorEastAsia"/>
                <w:b/>
                <w:color w:val="000000" w:themeColor="text1"/>
                <w:sz w:val="24"/>
                <w:szCs w:val="24"/>
                <w14:textFill>
                  <w14:solidFill>
                    <w14:schemeClr w14:val="tx1"/>
                  </w14:solidFill>
                </w14:textFill>
              </w:rPr>
              <w:t>年</w:t>
            </w:r>
            <w:r>
              <w:rPr>
                <w:rFonts w:hint="default" w:ascii="Times New Roman" w:hAnsi="Times New Roman" w:cs="Times New Roman" w:eastAsiaTheme="minorEastAsia"/>
                <w:b/>
                <w:color w:val="000000" w:themeColor="text1"/>
                <w:sz w:val="24"/>
                <w:szCs w:val="24"/>
                <w:lang w:val="en-US" w:eastAsia="zh-CN"/>
                <w14:textFill>
                  <w14:solidFill>
                    <w14:schemeClr w14:val="tx1"/>
                  </w14:solidFill>
                </w14:textFill>
              </w:rPr>
              <w:t>5</w:t>
            </w:r>
            <w:r>
              <w:rPr>
                <w:rFonts w:hint="default" w:ascii="Times New Roman" w:hAnsi="Times New Roman" w:cs="Times New Roman" w:eastAsiaTheme="minorEastAsia"/>
                <w:b/>
                <w:color w:val="000000" w:themeColor="text1"/>
                <w:sz w:val="24"/>
                <w:szCs w:val="24"/>
                <w14:textFill>
                  <w14:solidFill>
                    <w14:schemeClr w14:val="tx1"/>
                  </w14:solidFill>
                </w14:textFill>
              </w:rPr>
              <w:t>月</w:t>
            </w:r>
            <w:r>
              <w:rPr>
                <w:rFonts w:hint="default" w:ascii="Times New Roman" w:hAnsi="Times New Roman" w:cs="Times New Roman" w:eastAsiaTheme="minorEastAsia"/>
                <w:b/>
                <w:color w:val="000000" w:themeColor="text1"/>
                <w:sz w:val="24"/>
                <w:szCs w:val="24"/>
                <w:lang w:val="en-US" w:eastAsia="zh-CN"/>
                <w14:textFill>
                  <w14:solidFill>
                    <w14:schemeClr w14:val="tx1"/>
                  </w14:solidFill>
                </w14:textFill>
              </w:rPr>
              <w:t>15、17</w:t>
            </w:r>
            <w:r>
              <w:rPr>
                <w:rFonts w:hint="default" w:ascii="Times New Roman" w:hAnsi="Times New Roman" w:cs="Times New Roman" w:eastAsiaTheme="minorEastAsia"/>
                <w:b/>
                <w:color w:val="000000" w:themeColor="text1"/>
                <w:sz w:val="24"/>
                <w:szCs w:val="24"/>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518"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授课班级</w:t>
            </w:r>
          </w:p>
        </w:tc>
        <w:tc>
          <w:tcPr>
            <w:tcW w:w="2180"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生药20213班</w:t>
            </w:r>
          </w:p>
        </w:tc>
        <w:tc>
          <w:tcPr>
            <w:tcW w:w="1338"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授课时数</w:t>
            </w:r>
          </w:p>
        </w:tc>
        <w:tc>
          <w:tcPr>
            <w:tcW w:w="1270" w:type="dxa"/>
            <w:vAlign w:val="center"/>
          </w:tcPr>
          <w:p>
            <w:pPr>
              <w:spacing w:line="400" w:lineRule="exact"/>
              <w:jc w:val="center"/>
              <w:rPr>
                <w:rFonts w:hint="default" w:ascii="Times New Roman" w:hAnsi="Times New Roman" w:cs="Times New Roman" w:eastAsiaTheme="minorEastAsia"/>
                <w:color w:val="000000" w:themeColor="text1"/>
                <w:sz w:val="24"/>
                <w:szCs w:val="24"/>
                <w:lang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3</w:t>
            </w:r>
          </w:p>
        </w:tc>
        <w:tc>
          <w:tcPr>
            <w:tcW w:w="1574" w:type="dxa"/>
            <w:vAlign w:val="center"/>
          </w:tcPr>
          <w:p>
            <w:pPr>
              <w:spacing w:line="400" w:lineRule="exact"/>
              <w:jc w:val="center"/>
              <w:rPr>
                <w:rFonts w:hint="default" w:ascii="Times New Roman" w:hAnsi="Times New Roman" w:cs="Times New Roman" w:eastAsiaTheme="minorEastAsia"/>
                <w:b/>
                <w:color w:val="000000" w:themeColor="text1"/>
                <w:sz w:val="24"/>
                <w:szCs w:val="24"/>
                <w14:textFill>
                  <w14:solidFill>
                    <w14:schemeClr w14:val="tx1"/>
                  </w14:solidFill>
                </w14:textFill>
              </w:rPr>
            </w:pPr>
            <w:r>
              <w:rPr>
                <w:rFonts w:hint="default" w:ascii="Times New Roman" w:hAnsi="Times New Roman" w:cs="Times New Roman" w:eastAsiaTheme="minorEastAsia"/>
                <w:b/>
                <w:color w:val="000000" w:themeColor="text1"/>
                <w:sz w:val="24"/>
                <w:szCs w:val="24"/>
                <w14:textFill>
                  <w14:solidFill>
                    <w14:schemeClr w14:val="tx1"/>
                  </w14:solidFill>
                </w14:textFill>
              </w:rPr>
              <w:t>授课方式</w:t>
            </w:r>
          </w:p>
        </w:tc>
        <w:tc>
          <w:tcPr>
            <w:tcW w:w="1021" w:type="dxa"/>
            <w:vAlign w:val="center"/>
          </w:tcPr>
          <w:p>
            <w:pPr>
              <w:spacing w:line="400" w:lineRule="exact"/>
              <w:jc w:val="center"/>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理论课</w:t>
            </w:r>
          </w:p>
        </w:tc>
      </w:tr>
    </w:tbl>
    <w:p>
      <w:pPr>
        <w:spacing w:line="360" w:lineRule="exact"/>
        <w:ind w:left="0" w:leftChars="0" w:firstLine="0" w:firstLineChars="0"/>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【教学目标】</w:t>
      </w:r>
    </w:p>
    <w:p>
      <w:pPr>
        <w:spacing w:line="360" w:lineRule="exact"/>
        <w:ind w:left="0" w:leftChars="0" w:firstLine="420" w:firstLineChars="175"/>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1.掌握疫苗类药物的概念、分类、用途以及研究进展，疫苗类药物质量监控的程序和标准以及检定的原理和方法。</w:t>
      </w:r>
    </w:p>
    <w:p>
      <w:pPr>
        <w:spacing w:line="360" w:lineRule="exact"/>
        <w:ind w:firstLine="480" w:firstLineChars="20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2.熟悉疫苗类药物质量监控的标准和检定方法等。</w:t>
      </w:r>
    </w:p>
    <w:p>
      <w:pPr>
        <w:spacing w:line="360" w:lineRule="exact"/>
        <w:ind w:firstLine="480" w:firstLineChars="200"/>
        <w:rPr>
          <w:rFonts w:hint="default" w:ascii="Times New Roman" w:hAnsi="Times New Roman" w:cs="Times New Roman" w:eastAsiaTheme="minorEastAsia"/>
          <w:sz w:val="24"/>
          <w:szCs w:val="24"/>
        </w:rPr>
      </w:pPr>
      <w:r>
        <w:rPr>
          <w:rFonts w:hint="default" w:ascii="Times New Roman" w:hAnsi="Times New Roman" w:cs="Times New Roman" w:eastAsiaTheme="minorEastAsia"/>
          <w:sz w:val="24"/>
          <w:szCs w:val="24"/>
        </w:rPr>
        <w:t>3.了解疫苗类药物质量监控的主要检定方法。</w:t>
      </w:r>
    </w:p>
    <w:p>
      <w:pPr>
        <w:spacing w:line="360" w:lineRule="exact"/>
        <w:ind w:firstLine="480" w:firstLineChars="200"/>
        <w:rPr>
          <w:rFonts w:hint="default" w:ascii="Times New Roman" w:hAnsi="Times New Roman" w:cs="Times New Roman" w:eastAsiaTheme="minorEastAsia"/>
          <w:sz w:val="24"/>
          <w:szCs w:val="24"/>
        </w:rPr>
      </w:pPr>
    </w:p>
    <w:p>
      <w:pPr>
        <w:spacing w:line="400" w:lineRule="exact"/>
        <w:ind w:firstLine="0" w:firstLineChars="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【重点和难点】</w:t>
      </w:r>
    </w:p>
    <w:p>
      <w:pPr>
        <w:spacing w:line="360" w:lineRule="exact"/>
        <w:ind w:left="0"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1、掌握疫苗类药物的分析方法</w:t>
      </w:r>
    </w:p>
    <w:p>
      <w:pPr>
        <w:spacing w:line="360" w:lineRule="exact"/>
        <w:ind w:firstLine="480" w:firstLineChars="200"/>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2、熟悉疫苗类药物</w:t>
      </w:r>
    </w:p>
    <w:p>
      <w:pPr>
        <w:spacing w:line="360" w:lineRule="exact"/>
        <w:ind w:firstLine="480" w:firstLineChars="200"/>
        <w:rPr>
          <w:rFonts w:hint="default" w:ascii="Times New Roman" w:hAnsi="Times New Roman" w:cs="Times New Roman" w:eastAsiaTheme="minorEastAsia"/>
          <w:sz w:val="24"/>
          <w:szCs w:val="24"/>
        </w:rPr>
      </w:pPr>
      <w:r>
        <w:rPr>
          <w:rFonts w:hint="default" w:ascii="Times New Roman" w:hAnsi="Times New Roman" w:cs="Times New Roman" w:eastAsiaTheme="minorEastAsia"/>
          <w:color w:val="000000" w:themeColor="text1"/>
          <w:sz w:val="24"/>
          <w14:textFill>
            <w14:solidFill>
              <w14:schemeClr w14:val="tx1"/>
            </w14:solidFill>
          </w14:textFill>
        </w:rPr>
        <w:t>3、了解几种疫苗制品类药物的质量分析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bookmarkStart w:id="23" w:name="OLE_LINK26"/>
    </w:p>
    <w:bookmarkEnd w:id="23"/>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【教学内容】</w:t>
      </w:r>
    </w:p>
    <w:p>
      <w:p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第一节-概述</w:t>
      </w:r>
    </w:p>
    <w:p>
      <w:p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第二节-疫苗的质量监控</w:t>
      </w:r>
    </w:p>
    <w:p>
      <w:pPr>
        <w:adjustRightInd w:val="0"/>
        <w:snapToGrid w:val="0"/>
        <w:spacing w:line="400" w:lineRule="exact"/>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color w:val="000000" w:themeColor="text1"/>
          <w:sz w:val="24"/>
          <w:szCs w:val="24"/>
          <w:lang w:val="en-US" w:eastAsia="zh-CN"/>
          <w14:textFill>
            <w14:solidFill>
              <w14:schemeClr w14:val="tx1"/>
            </w14:solidFill>
          </w14:textFill>
        </w:rPr>
        <w:t>第三节-应用实例</w:t>
      </w:r>
    </w:p>
    <w:p>
      <w:pPr>
        <w:adjustRightInd w:val="0"/>
        <w:snapToGrid w:val="0"/>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bCs/>
          <w:color w:val="000000" w:themeColor="text1"/>
          <w:sz w:val="24"/>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 w:val="24"/>
          <w:szCs w:val="24"/>
          <w14:textFill>
            <w14:solidFill>
              <w14:schemeClr w14:val="tx1"/>
            </w14:solidFill>
          </w14:textFill>
        </w:rPr>
        <w:t>教学方法：</w:t>
      </w:r>
      <w:r>
        <w:rPr>
          <w:rFonts w:hint="default" w:ascii="Times New Roman" w:hAnsi="Times New Roman" w:cs="Times New Roman" w:eastAsiaTheme="minorEastAsia"/>
          <w:color w:val="000000" w:themeColor="text1"/>
          <w:sz w:val="24"/>
          <w:szCs w:val="24"/>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教学具体过程：</w:t>
      </w:r>
    </w:p>
    <w:p>
      <w:pPr>
        <w:spacing w:line="400" w:lineRule="exact"/>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adjustRightInd w:val="0"/>
        <w:snapToGrid w:val="0"/>
        <w:spacing w:line="400" w:lineRule="exact"/>
        <w:jc w:val="center"/>
        <w:rPr>
          <w:rFonts w:hint="default" w:ascii="Times New Roman" w:hAnsi="Times New Roman" w:cs="Times New Roman" w:eastAsiaTheme="minorEastAsia"/>
          <w:b w:val="0"/>
          <w:bCs w:val="0"/>
          <w:color w:val="000000" w:themeColor="text1"/>
          <w:sz w:val="24"/>
          <w:szCs w:val="24"/>
          <w:lang w:val="en-US" w:eastAsia="zh-CN"/>
          <w14:textFill>
            <w14:solidFill>
              <w14:schemeClr w14:val="tx1"/>
            </w14:solidFill>
          </w14:textFill>
        </w:rPr>
      </w:pPr>
      <w:r>
        <w:rPr>
          <w:rFonts w:hint="default" w:ascii="Times New Roman" w:hAnsi="Times New Roman" w:cs="Times New Roman" w:eastAsiaTheme="minorEastAsia"/>
          <w:b w:val="0"/>
          <w:bCs w:val="0"/>
          <w:color w:val="000000" w:themeColor="text1"/>
          <w:sz w:val="24"/>
          <w:szCs w:val="24"/>
          <w:lang w:val="en-US" w:eastAsia="zh-CN"/>
          <w14:textFill>
            <w14:solidFill>
              <w14:schemeClr w14:val="tx1"/>
            </w14:solidFill>
          </w14:textFill>
        </w:rPr>
        <w:t>第一节 概述</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一、疫苗的概念、分类及用途</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的发明和应用是人类自身发展史上具有里程碑意义的事件。从某种意义上来说，人类繁衍生息的历史就是人类不断同疾病和自然灾害斗争的历史，控制疾病危害最主要和有效的手段是预防，而接种疫苗又是最有效的预防措施。</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1.概念</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中国药典》(2020年版)规定，疫苗是以病原微生物或其组成成分、代谢产物为起始材料，采用生物技术制备而成，用于预防、治疗人类相应疾病的生物制品。疫苗接种人体后可刺激免疫系统产生特异性体液免疫和/或细胞免疫应答，使人体获得对相应病原微生物的免疫力。</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2.分类及用途</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本章所述疫苗系指用于传染病预防的人用疫苗,按其组成成分及用途和生产工艺可分为以下类型</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(1)灭活疫苗</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(2)减毒活疫苗</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(3)亚单位疫苗</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(4)基因工程重组蛋白疫苗</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(5)其他类疫苗</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二、疫苗的发展概况</w:t>
      </w:r>
    </w:p>
    <w:p>
      <w:pPr>
        <w:spacing w:line="360" w:lineRule="exact"/>
        <w:ind w:firstLine="420" w:firstLineChars="175"/>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三、疫苗质量监控的目的与意义</w:t>
      </w:r>
      <w:r>
        <w:rPr>
          <w:rFonts w:hint="default" w:ascii="Times New Roman" w:hAnsi="Times New Roman" w:cs="Times New Roman" w:eastAsiaTheme="minorEastAsia"/>
          <w:sz w:val="24"/>
          <w:szCs w:val="24"/>
        </w:rPr>
        <w:drawing>
          <wp:anchor distT="0" distB="0" distL="114300" distR="114300" simplePos="0" relativeHeight="251710464" behindDoc="0" locked="0" layoutInCell="1" allowOverlap="1">
            <wp:simplePos x="0" y="0"/>
            <wp:positionH relativeFrom="column">
              <wp:posOffset>-504825</wp:posOffset>
            </wp:positionH>
            <wp:positionV relativeFrom="paragraph">
              <wp:posOffset>107315</wp:posOffset>
            </wp:positionV>
            <wp:extent cx="6085205" cy="3668395"/>
            <wp:effectExtent l="0" t="0" r="1270" b="8255"/>
            <wp:wrapTopAndBottom/>
            <wp:docPr id="63" name="图片 7"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图片 7" descr="IMG_256"/>
                    <pic:cNvPicPr>
                      <a:picLocks noChangeAspect="1"/>
                    </pic:cNvPicPr>
                  </pic:nvPicPr>
                  <pic:blipFill>
                    <a:blip r:embed="rId57"/>
                    <a:stretch>
                      <a:fillRect/>
                    </a:stretch>
                  </pic:blipFill>
                  <pic:spPr>
                    <a:xfrm>
                      <a:off x="0" y="0"/>
                      <a:ext cx="6085205" cy="3668395"/>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随着疫苗的广泛应用，人类得以根除天花，控制住了白喉、百日咳、麻疹、脊髓灰质炎等传染性疾病的传播，同时也显著降低了许多传染性疾病的发病率和病死率。因此，接种疫苗被认为是最经济、最有效的医学干预手段。然而人类对疫苗的应用过程并不是一帆风顺的，在开发、生产和使用过程中，受限于当时对疫苗研究和生产工艺特殊性的认知程度，由于减毒不彻底、脱毒方法不正确、安全性检验不健全、生产过程不严谨等原因，曾多次发生疫苗灾难性事故，并付出了惨痛的代价。科学家从事故和灾难中总结经验、吸取教训，逐步建立和完善了疫苗质量控制、安全性评价及有效性检定方法，并不断应用新的监测手段，形成完整的疫苗质量控制和评价体系，更好地保障疫苗的质量。</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疫苗的质量监控主要有以下两点作用：①有助于提高疫苗的质量，保证人民的身体健康，这是最根本、最重要的一点；②可以辅助控制、改进工艺，加快新疫苗的问世。</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四、疫苗质量监控的标准与执行机构</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(一)疫苗质量监控的标准</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《中华人民共和国药品管理法》</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中华人民共和国药品管理法实施条例》、《药品生产质量管理规范》(GMP)、《药物非临床试验质量管理规范》(GLP)、《药品临床试验质量管理规范》(GCP)、《中华人民共和国药典》、《生物制品批签发管理办法》、《药品不良反应报告和监督管理方法》、《药品生产监督管理办法》。此外，NMPA根据《药品管理法》及《实施条例》制定颁布了《新生物制品审批办法》《药品注册管理办法》,该办法确定了药品注册的标准及具体组织实施注册的管理办法。2019年6月十三届全国人大常委会第十一次会议表决通过了《中华人民共和国疫苗管理法》,它是疫苗流通、疫苗接种、保障措施、预防接种异常反应的处理、监督方法、法律责任等方面的重要法规。</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(二)疫苗质量监控的国家技术监督管理机构</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1.中国食品药品检定研究院以下简称中检院</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2.国家药典委员会生物制品专业委员会</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3.国家药品监督管理局药品审评中心</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4.中国疾病预防控制中心</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5.国家药品监督管理局药品评价中心(国家药品不良反应监测中心)。</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jc w:val="center"/>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第二节疫苗的质量监控</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一、疫苗质量监控要点</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产出具有药理活性高、针对性强、毒性低、副作用小、疗效可靠等特点的安全、高效的疫苗制品。为此，必须进行原材料、生产过程和最终产品的全程质量控制，以确保产品符合质量标准要求。疫苗的质量分析与监控项目众多，但按照其监控对象不同，主要分为</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(1)全过程质量控制</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(2)批间一致性的控制</w:t>
      </w: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和</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(3)目标成分及非目标成分的控制</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(一)疫苗生产原材料的质量控制</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疫苗生产应用的所有原材料一定要具有可靠的来源，并满足确定的规格</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主要包括：</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毒种、菌种的要求生产用菌毒种筛选原则均应该遵守《生物制品生产检定用菌毒种管理规范》的管理，检定项目包括菌毒种无菌检查、外源性因子检查、鉴别试验、特性和型别、感染性滴度、抗原性、免疫原性、减毒特性(减毒疫苗)、传代稳定性。</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2.细胞基质的特征描述除病毒安全性试验之外,细胞库和批应该进行以下项目的检验，包括鉴别试验、无菌检查、支原体检查，并确定无外源病毒因子污染。</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3.物料列出疫苗生产过程中应用的所有物质，包括培养基、缓冲溶液、器具、柱填料及其他纯化介质、化学物质、色谱柱等，应按照新的细胞基质要求进行评价。</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(二)疫苗生产过程的质量控制</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1.疫苗制品的质量</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是由从原材料投入到产品出厂的整个生产过程中的一系列因素所决定的，所以疫苗的质量是生产出来的，检定只是客观地反映所监督疫苗的质量水平。因此，疫苗生产过程要求执行现行版GMP及《中国药典》(2020年版),生产符合批准的生产工艺过程，操作严格按照标准操作规程，对生产全过程的每一个环节做最大可能的控制，才可能使产品符合所有质量要求。</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 xml:space="preserve">2.疫苗生产质量控制的影响因素  </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包括：①菌毒种的全部特征与遗传稳定性;②细胞基质研究的全部特征，对于细胞来源的生物制品的质量，关注的焦点在于外来污染物的进入或用于生产产品的性质；③原料的选择方面，防止病毒和其他外源引入的污染；④生产认证研究、杂质的去除和病毒的去除，包括细胞培养时期的生产认证、纯化时期的生产认证、生产相关的杂质认证等；⑤设施的控制，环境检测控制与设施应用。</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3.生产过程质量控制要点</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的生产包括：①在生产过程中所有原料的接收和质量控制；②被纯化的大量批抗原的生产；③最终大量批剂型的制备；④根据产品的成分，无菌灌装、贴标签、最终产品的包装；⑤根据要求，对于评价产品的分析能力；⑥适当的储存和分发。</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(三)疫苗类药物的质量控制</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1.疫苗类药物的质量控制特点</w:t>
      </w:r>
    </w:p>
    <w:p>
      <w:pPr>
        <w:keepNext w:val="0"/>
        <w:keepLines w:val="0"/>
        <w:widowControl/>
        <w:suppressLineNumbers w:val="0"/>
        <w:jc w:val="left"/>
        <w:rPr>
          <w:rFonts w:hint="default" w:ascii="Times New Roman" w:hAnsi="Times New Roman" w:cs="Times New Roman" w:eastAsiaTheme="minorEastAsia"/>
          <w:sz w:val="24"/>
        </w:rPr>
      </w:pP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主要包括：</w:t>
      </w:r>
      <w:r>
        <w:rPr>
          <w:rFonts w:hint="default" w:ascii="Times New Roman" w:hAnsi="Times New Roman" w:cs="Times New Roman" w:eastAsiaTheme="minorEastAsia"/>
          <w:b w:val="0"/>
          <w:color w:val="000000" w:themeColor="text1"/>
          <w:kern w:val="0"/>
          <w:sz w:val="24"/>
          <w:szCs w:val="24"/>
          <w:lang w:val="en-US" w:eastAsia="zh-CN" w:bidi="ar"/>
          <w14:textFill>
            <w14:solidFill>
              <w14:schemeClr w14:val="tx1"/>
            </w14:solidFill>
          </w14:textFill>
        </w:rPr>
        <w:t>(1)分子量测定、(2)生化结构确证、(3)生物活性检查、(4)安全性检查、(5)效价测定。</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2.疫苗类药物的质量检定方法</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疫苗类药物质量控制一般包括原液、半成品、成品检测，通常依据疫苗品种的不同制定不同的检验方法。</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(四)疫苗制品的贮存和运输</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1.疫苗贮存</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贮存是指疫苗中间产物或成品，在规定条件下(包括容器、环境和时间等)的存放过程。</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(1)中间产物的贮存在疫苗生产全过程中的不同阶段产生的中间产物，因工艺或生产过程控制的需要(如等待检验结果、多价或联合疫苗的序贯生产等),不能连续投人下一道工艺步骤，应在适宜的条件下保存。</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成品的贮存成品贮存包括疫苗完成包装工序送人成品库贮存至销售出库的过程(不包括疫苗运输、使用过程中的贮存)。贮存过程应设定适宜的温度，通常为2~8℃;此外，还应考虑环境湿度的影响；应避免冰点温度保存。除另有规定外，不得冻存，尤其是液体剂型的疫苗，特别是含铝佐剂的疫苗。</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2.疫苗的运输</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除另有规定外，疫苗应采用冷链运输。应依据疫苗在运输过程中的环境温度确定外包装方式，并应验证该疫苗在这种包装下在运输全过程中均能符合温度要求。验证应设定最长运输距离和时间，以及在运输过程中可能承受的最高和/或最低温度等极端因素以及运输过程中震动对疫苗的影响。此外，还应考虑在短暂脱冷链等其他条件下对疫苗稳定性的影响。</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二、疫苗质量控制方法的研究与验证</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质量控制方法的验证就是要证明采用的方法适合于相应检测要求，具有相当的准确性和可靠性，进而可以达到控制产品质量的目的。只有经过验证的分析方法才能用于控制产品质量，因此方法验证是制定质量标准的基础。</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一般情况下，需验证的分析项目有：鉴别试验、杂质检查、原液或制剂中有效成分的含量测定及生物活性测定。其他质控方法，如必要时也应加以验证。</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类药物质控中采用的方法包括理化分析方法和生物学测定方法。疫苗类药物的理化分析方法验证原则与化学药品基本相同，可参照《化学药物质量控制分析方法验证技术指导原则》进行，同时需结合疫苗类药物的特点进行。</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(一)生物学测定常用方法</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生物学测定指采用生物学方法，以反映被测物的生物学特性为目的的测定方法。以下为生物学测定常用方法，根据具体情况，可在疫苗的常规质控时采用其中的一种或几种方法。鉴于一种测定方法仅能反映疫苗某一方面的特性，且方法的变异一般较大，为更好控制疫苗质量，必要时需同时采用多种方法进行测定。其方法主要包括：酶反应试验、结合试验、细胞测定试验、动物试验等。</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(二)疫苗质量控制方法的来源(种类)</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根据疫苗质量控制方法的来源，可分为标准方法(或正式方法、法定方法)和非标准</w:t>
      </w: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方法。</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(三)疫苗质量控制分析方法</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疫苗质控分析方法主要包括：①分析方法的原理；②供试品取样方法；③测试用仪器及参数；④测试用试剂；⑤标准品或参考品的配备；⑥供试品的配备；⑦测试过程；⑧计算方法；⑨判定标准。</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(四)疫苗质量控制分析方法的验证</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疫苗质控分析方法的验证就是根据方法的需要测定该方法的专属性、准确性、精密度、线性、范围、耐用性、检测限度、定量限度等几个指标中的一个或几个，用于不同检测目的的试验方法需进行不同参数的测定</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jc w:val="center"/>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第三节  应用实例</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一、卡介苗</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卡介苗(Bacillus Calmette-Guerin Vaccine,BCG)是目前结核病预可用的疫苗，在全球广泛使用。BCG是一种经过人工培养的无毒牛型结核杆菌(卡介苗)悬液制成的减毒活疫苗。BCG经过70余年在世界各地的应用，证明它是预防和控制结核病的有效预防制剂之一，特别对结核性脑膜炎、粟粒性结核有较好的预防效果。</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下面从BCG的工艺和质量控制要点及质控方法的研究进展，以及新型结核病疫苗的发展方向及其评价方法等较为全面地探讨结核病疫苗的质量控制。</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(一)BCG制造</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主要包括菌种的生产、原液获取、半成品配制和成品制备。</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(二)BCG生产过程的质量控制</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疫苗的质量安全、有效和一致除了依赖于对疫苗的全面检定外，更重要的是生产过程中应进行科学、严格的质量控制。BCG生产过程中的质量控制主要</w:t>
      </w: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包括：</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1.菌种培养和传代中的质量控制</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2.培养基质量控制</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3.原液收集和合并中的质量控制</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4.BCG的成分及其理化特性和免疫原性</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5.BCG质量控制要点及质量标准</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二、乙型肝炎疫苗</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病毒性肝炎是世界上最常见的传染性疾病之一</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目前上市的乙型肝炎疫苗主要有酵母(酿酒酵母和甲基营养型酵母)以及中国仓鼠卵巢细胞(Chinese hamster ovary cell,CHO)。目的基因的组合构建影响表达的抗原、活性和功能。目前世界范围内主要是以表达的S蛋白制备疫苗，其中酵母生产的基因乙肝疫苗由于易于高密度发酵培养，表达最高(约40μg/ml),成本较低，工艺成熟，取得了支配地位。</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重组乙型肝炎肝炎疫苗(CHO细胞或酿酒酵母)是由重组CHO细胞或酿酒酵母表达的乙型肝炎病毒表面抗原(HBsAg)经纯化，加入佐剂制成。用于预防乙型肝炎。</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(一)重组乙型肝炎疫苗(CHO细胞或酿酒酵母)的制造</w:t>
      </w:r>
    </w:p>
    <w:p>
      <w:pPr>
        <w:keepNext w:val="0"/>
        <w:keepLines w:val="0"/>
        <w:widowControl/>
        <w:suppressLineNumbers w:val="0"/>
        <w:jc w:val="left"/>
        <w:rPr>
          <w:rFonts w:hint="default" w:ascii="Times New Roman" w:hAnsi="Times New Roman" w:cs="Times New Roman" w:eastAsiaTheme="minorEastAsia"/>
          <w:b w:val="0"/>
          <w:color w:val="000000" w:themeColor="text1"/>
          <w:kern w:val="0"/>
          <w:sz w:val="24"/>
          <w:szCs w:val="24"/>
          <w:lang w:val="en-US" w:eastAsia="zh-CN" w:bidi="ar"/>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其主要步骤包括：</w:t>
      </w:r>
      <w:r>
        <w:rPr>
          <w:rFonts w:hint="default" w:ascii="Times New Roman" w:hAnsi="Times New Roman" w:cs="Times New Roman" w:eastAsiaTheme="minorEastAsia"/>
          <w:b w:val="0"/>
          <w:color w:val="000000" w:themeColor="text1"/>
          <w:kern w:val="0"/>
          <w:sz w:val="24"/>
          <w:szCs w:val="24"/>
          <w:lang w:val="en-US" w:eastAsia="zh-CN" w:bidi="ar"/>
          <w14:textFill>
            <w14:solidFill>
              <w14:schemeClr w14:val="tx1"/>
            </w14:solidFill>
          </w14:textFill>
        </w:rPr>
        <w:t>1.重组乙型肝炎疫苗(CHO细胞)生产用细胞、2.重组乙型肝炎疫苗(酿酒酵母)生产用菌种、3.重组乙型肝炎疫苗(CHO细胞)制备、4.重组乙型肝炎疫苗(酿酒酵母)制备。如下图：</w:t>
      </w:r>
    </w:p>
    <w:p>
      <w:pPr>
        <w:keepNext w:val="0"/>
        <w:keepLines w:val="0"/>
        <w:widowControl/>
        <w:suppressLineNumbers w:val="0"/>
        <w:jc w:val="center"/>
        <w:rPr>
          <w:rFonts w:hint="default" w:ascii="Times New Roman" w:hAnsi="Times New Roman" w:cs="Times New Roman" w:eastAsiaTheme="minorEastAsia"/>
          <w:b w:val="0"/>
          <w:color w:val="000000" w:themeColor="text1"/>
          <w:kern w:val="0"/>
          <w:sz w:val="24"/>
          <w:szCs w:val="24"/>
          <w:lang w:val="en-US" w:eastAsia="zh-CN" w:bidi="ar"/>
          <w14:textFill>
            <w14:solidFill>
              <w14:schemeClr w14:val="tx1"/>
            </w14:solidFill>
          </w14:textFill>
        </w:rPr>
      </w:pPr>
      <w:r>
        <w:rPr>
          <w:rFonts w:hint="default" w:ascii="Times New Roman" w:hAnsi="Times New Roman" w:cs="Times New Roman" w:eastAsiaTheme="minorEastAsia"/>
          <w:sz w:val="24"/>
          <w:szCs w:val="24"/>
        </w:rPr>
        <w:drawing>
          <wp:inline distT="0" distB="0" distL="114300" distR="114300">
            <wp:extent cx="4829175" cy="5810250"/>
            <wp:effectExtent l="0" t="0" r="0" b="0"/>
            <wp:docPr id="64" name="图片 8"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图片 8" descr="IMG_256"/>
                    <pic:cNvPicPr>
                      <a:picLocks noChangeAspect="1"/>
                    </pic:cNvPicPr>
                  </pic:nvPicPr>
                  <pic:blipFill>
                    <a:blip r:embed="rId58"/>
                    <a:stretch>
                      <a:fillRect/>
                    </a:stretch>
                  </pic:blipFill>
                  <pic:spPr>
                    <a:xfrm>
                      <a:off x="0" y="0"/>
                      <a:ext cx="4829175" cy="5810250"/>
                    </a:xfrm>
                    <a:prstGeom prst="rect">
                      <a:avLst/>
                    </a:prstGeom>
                    <a:noFill/>
                    <a:ln w="9525">
                      <a:noFill/>
                    </a:ln>
                  </pic:spPr>
                </pic:pic>
              </a:graphicData>
            </a:graphic>
          </wp:inline>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(二)重组乙型肝炎疫苗(CHO细胞或酿酒酵母)生产工艺与质控</w:t>
      </w:r>
    </w:p>
    <w:p>
      <w:pPr>
        <w:keepNext w:val="0"/>
        <w:keepLines w:val="0"/>
        <w:widowControl/>
        <w:suppressLineNumbers w:val="0"/>
        <w:jc w:val="left"/>
        <w:rPr>
          <w:rFonts w:hint="default" w:ascii="Times New Roman" w:hAnsi="Times New Roman" w:cs="Times New Roman" w:eastAsiaTheme="minorEastAsia"/>
          <w:sz w:val="24"/>
          <w:lang w:val="en-US"/>
        </w:rPr>
      </w:pP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其主要步骤包括：</w:t>
      </w: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1.重组乙型肝炎疫苗(CHO细胞)生产与质控要素</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lang w:val="en-US" w:eastAsia="zh-CN" w:bidi="ar"/>
          <w14:textFill>
            <w14:solidFill>
              <w14:schemeClr w14:val="tx1"/>
            </w14:solidFill>
          </w14:textFill>
        </w:rPr>
        <w:t>2.重组乙型肝炎疫苗(酿酒酵母)的生产与质控要素。如下图：</w:t>
      </w: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11488" behindDoc="0" locked="0" layoutInCell="1" allowOverlap="1">
            <wp:simplePos x="0" y="0"/>
            <wp:positionH relativeFrom="column">
              <wp:posOffset>396240</wp:posOffset>
            </wp:positionH>
            <wp:positionV relativeFrom="paragraph">
              <wp:posOffset>110490</wp:posOffset>
            </wp:positionV>
            <wp:extent cx="4491990" cy="6572250"/>
            <wp:effectExtent l="0" t="0" r="3810" b="0"/>
            <wp:wrapTopAndBottom/>
            <wp:docPr id="65" name="图片 9"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图片 9" descr="IMG_256"/>
                    <pic:cNvPicPr>
                      <a:picLocks noChangeAspect="1"/>
                    </pic:cNvPicPr>
                  </pic:nvPicPr>
                  <pic:blipFill>
                    <a:blip r:embed="rId59"/>
                    <a:stretch>
                      <a:fillRect/>
                    </a:stretch>
                  </pic:blipFill>
                  <pic:spPr>
                    <a:xfrm>
                      <a:off x="0" y="0"/>
                      <a:ext cx="4491990" cy="6572250"/>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(三)重组乙型肝炎疫苗(CHO细胞或酿酒酵母)的质量标准</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14:textFill>
            <w14:solidFill>
              <w14:schemeClr w14:val="tx1"/>
            </w14:solidFill>
          </w14:textFill>
        </w:rPr>
        <w:t>为了确保重组乙型肝炎疫苗(CHO细胞或酿酒酵母)的安全性和有效性以及生产过程的一致性，对重组乙型肝炎疫苗(CHO细胞或酿酒酵母)原液、半成品和成品均有严格的质量控制和标准</w:t>
      </w: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12512" behindDoc="0" locked="0" layoutInCell="1" allowOverlap="1">
            <wp:simplePos x="0" y="0"/>
            <wp:positionH relativeFrom="column">
              <wp:posOffset>81280</wp:posOffset>
            </wp:positionH>
            <wp:positionV relativeFrom="paragraph">
              <wp:posOffset>118745</wp:posOffset>
            </wp:positionV>
            <wp:extent cx="5015230" cy="4030345"/>
            <wp:effectExtent l="0" t="0" r="4445" b="8255"/>
            <wp:wrapTopAndBottom/>
            <wp:docPr id="66" name="图片 10"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图片 10" descr="IMG_256"/>
                    <pic:cNvPicPr>
                      <a:picLocks noChangeAspect="1"/>
                    </pic:cNvPicPr>
                  </pic:nvPicPr>
                  <pic:blipFill>
                    <a:blip r:embed="rId60"/>
                    <a:stretch>
                      <a:fillRect/>
                    </a:stretch>
                  </pic:blipFill>
                  <pic:spPr>
                    <a:xfrm>
                      <a:off x="0" y="0"/>
                      <a:ext cx="5015230" cy="4030345"/>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13536" behindDoc="0" locked="0" layoutInCell="1" allowOverlap="1">
            <wp:simplePos x="0" y="0"/>
            <wp:positionH relativeFrom="column">
              <wp:posOffset>22860</wp:posOffset>
            </wp:positionH>
            <wp:positionV relativeFrom="paragraph">
              <wp:posOffset>75565</wp:posOffset>
            </wp:positionV>
            <wp:extent cx="5064760" cy="3674745"/>
            <wp:effectExtent l="0" t="0" r="2540" b="1905"/>
            <wp:wrapTopAndBottom/>
            <wp:docPr id="67" name="图片 11"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图片 11" descr="IMG_256"/>
                    <pic:cNvPicPr>
                      <a:picLocks noChangeAspect="1"/>
                    </pic:cNvPicPr>
                  </pic:nvPicPr>
                  <pic:blipFill>
                    <a:blip r:embed="rId61"/>
                    <a:stretch>
                      <a:fillRect/>
                    </a:stretch>
                  </pic:blipFill>
                  <pic:spPr>
                    <a:xfrm>
                      <a:off x="0" y="0"/>
                      <a:ext cx="5064760" cy="3674745"/>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14560" behindDoc="0" locked="0" layoutInCell="1" allowOverlap="1">
            <wp:simplePos x="0" y="0"/>
            <wp:positionH relativeFrom="column">
              <wp:posOffset>260350</wp:posOffset>
            </wp:positionH>
            <wp:positionV relativeFrom="paragraph">
              <wp:posOffset>-64135</wp:posOffset>
            </wp:positionV>
            <wp:extent cx="4083685" cy="4316730"/>
            <wp:effectExtent l="0" t="0" r="2540" b="7620"/>
            <wp:wrapTopAndBottom/>
            <wp:docPr id="68" name="图片 12"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图片 12" descr="IMG_256"/>
                    <pic:cNvPicPr>
                      <a:picLocks noChangeAspect="1"/>
                    </pic:cNvPicPr>
                  </pic:nvPicPr>
                  <pic:blipFill>
                    <a:blip r:embed="rId62"/>
                    <a:stretch>
                      <a:fillRect/>
                    </a:stretch>
                  </pic:blipFill>
                  <pic:spPr>
                    <a:xfrm>
                      <a:off x="0" y="0"/>
                      <a:ext cx="4083685" cy="4316730"/>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sz w:val="24"/>
          <w:szCs w:val="24"/>
        </w:rPr>
        <w:drawing>
          <wp:anchor distT="0" distB="0" distL="114300" distR="114300" simplePos="0" relativeHeight="251715584" behindDoc="0" locked="0" layoutInCell="1" allowOverlap="1">
            <wp:simplePos x="0" y="0"/>
            <wp:positionH relativeFrom="column">
              <wp:posOffset>-139065</wp:posOffset>
            </wp:positionH>
            <wp:positionV relativeFrom="paragraph">
              <wp:posOffset>120015</wp:posOffset>
            </wp:positionV>
            <wp:extent cx="4594225" cy="2640330"/>
            <wp:effectExtent l="0" t="0" r="6350" b="7620"/>
            <wp:wrapTopAndBottom/>
            <wp:docPr id="69" name="图片 13"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图片 13" descr="IMG_256"/>
                    <pic:cNvPicPr>
                      <a:picLocks noChangeAspect="1"/>
                    </pic:cNvPicPr>
                  </pic:nvPicPr>
                  <pic:blipFill>
                    <a:blip r:embed="rId63"/>
                    <a:stretch>
                      <a:fillRect/>
                    </a:stretch>
                  </pic:blipFill>
                  <pic:spPr>
                    <a:xfrm>
                      <a:off x="0" y="0"/>
                      <a:ext cx="4594225" cy="2640330"/>
                    </a:xfrm>
                    <a:prstGeom prst="rect">
                      <a:avLst/>
                    </a:prstGeom>
                    <a:noFill/>
                    <a:ln w="9525">
                      <a:noFill/>
                    </a:ln>
                  </pic:spPr>
                </pic:pic>
              </a:graphicData>
            </a:graphic>
          </wp:anchor>
        </w:drawing>
      </w: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p>
    <w:p>
      <w:pPr>
        <w:spacing w:line="360" w:lineRule="exact"/>
        <w:ind w:firstLine="480" w:firstLineChars="200"/>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pPr>
    </w:p>
    <w:p>
      <w:pPr>
        <w:spacing w:line="360" w:lineRule="exact"/>
        <w:ind w:firstLine="0" w:firstLineChars="0"/>
        <w:rPr>
          <w:rFonts w:hint="default" w:ascii="Times New Roman" w:hAnsi="Times New Roman" w:cs="Times New Roman" w:eastAsiaTheme="minorEastAsia"/>
          <w:b w:val="0"/>
          <w:color w:val="000000" w:themeColor="text1"/>
          <w:kern w:val="0"/>
          <w:sz w:val="24"/>
          <w:szCs w:val="24"/>
          <w14:textFill>
            <w14:solidFill>
              <w14:schemeClr w14:val="tx1"/>
            </w14:solidFill>
          </w14:textFill>
        </w:rPr>
      </w:pPr>
      <w:r>
        <w:rPr>
          <w:rFonts w:hint="default" w:ascii="Times New Roman" w:hAnsi="Times New Roman" w:cs="Times New Roman" w:eastAsiaTheme="minorEastAsia"/>
          <w:b w:val="0"/>
          <w:color w:val="000000" w:themeColor="text1"/>
          <w:kern w:val="0"/>
          <w:sz w:val="24"/>
          <w:szCs w:val="24"/>
          <w:lang w:eastAsia="zh-CN"/>
          <w14:textFill>
            <w14:solidFill>
              <w14:schemeClr w14:val="tx1"/>
            </w14:solidFill>
          </w14:textFill>
        </w:rPr>
        <w:t>【</w:t>
      </w:r>
      <w:r>
        <w:rPr>
          <w:rFonts w:hint="default" w:ascii="Times New Roman" w:hAnsi="Times New Roman" w:cs="Times New Roman" w:eastAsiaTheme="minorEastAsia"/>
          <w:b w:val="0"/>
          <w:color w:val="000000" w:themeColor="text1"/>
          <w:kern w:val="0"/>
          <w:sz w:val="24"/>
          <w:szCs w:val="24"/>
          <w:lang w:val="en-US" w:eastAsia="zh-CN"/>
          <w14:textFill>
            <w14:solidFill>
              <w14:schemeClr w14:val="tx1"/>
            </w14:solidFill>
          </w14:textFill>
        </w:rPr>
        <w:t>章节重点小结】</w:t>
      </w:r>
      <w:r>
        <w:rPr>
          <w:rFonts w:hint="default" w:ascii="Times New Roman" w:hAnsi="Times New Roman" w:cs="Times New Roman" w:eastAsiaTheme="minorEastAsia"/>
          <w:sz w:val="24"/>
          <w:szCs w:val="24"/>
        </w:rPr>
        <w:drawing>
          <wp:anchor distT="0" distB="0" distL="114300" distR="114300" simplePos="0" relativeHeight="251716608" behindDoc="0" locked="0" layoutInCell="1" allowOverlap="1">
            <wp:simplePos x="0" y="0"/>
            <wp:positionH relativeFrom="column">
              <wp:posOffset>334010</wp:posOffset>
            </wp:positionH>
            <wp:positionV relativeFrom="paragraph">
              <wp:posOffset>76200</wp:posOffset>
            </wp:positionV>
            <wp:extent cx="4569460" cy="5157470"/>
            <wp:effectExtent l="0" t="0" r="2540" b="5080"/>
            <wp:wrapTopAndBottom/>
            <wp:docPr id="70" name="图片 14" descr="IMG_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图片 14" descr="IMG_256"/>
                    <pic:cNvPicPr>
                      <a:picLocks noChangeAspect="1"/>
                    </pic:cNvPicPr>
                  </pic:nvPicPr>
                  <pic:blipFill>
                    <a:blip r:embed="rId64"/>
                    <a:stretch>
                      <a:fillRect/>
                    </a:stretch>
                  </pic:blipFill>
                  <pic:spPr>
                    <a:xfrm>
                      <a:off x="0" y="0"/>
                      <a:ext cx="4569460" cy="5157470"/>
                    </a:xfrm>
                    <a:prstGeom prst="rect">
                      <a:avLst/>
                    </a:prstGeom>
                    <a:noFill/>
                    <a:ln w="9525">
                      <a:noFill/>
                    </a:ln>
                  </pic:spPr>
                </pic:pic>
              </a:graphicData>
            </a:graphic>
          </wp:anchor>
        </w:drawing>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1.疫苗药物分析方法。</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2.试比较几种疫苗药物的检测分析。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3.预习下一章内容</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bCs/>
          <w:color w:val="000000" w:themeColor="text1"/>
          <w:sz w:val="24"/>
          <w:szCs w:val="24"/>
          <w14:textFill>
            <w14:solidFill>
              <w14:schemeClr w14:val="tx1"/>
            </w14:solidFill>
          </w14:textFill>
        </w:rPr>
        <w:t xml:space="preserve">1.《生物药物分析》  张怡轩   中国医药科技出版社 </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 w:val="24"/>
          <w:szCs w:val="24"/>
          <w14:textFill>
            <w14:solidFill>
              <w14:schemeClr w14:val="tx1"/>
            </w14:solidFill>
          </w14:textFill>
        </w:rPr>
      </w:pPr>
      <w:r>
        <w:rPr>
          <w:rFonts w:hint="default" w:ascii="Times New Roman" w:hAnsi="Times New Roman" w:cs="Times New Roman" w:eastAsiaTheme="minorEastAsia"/>
          <w:color w:val="000000" w:themeColor="text1"/>
          <w:sz w:val="24"/>
          <w:szCs w:val="24"/>
          <w14:textFill>
            <w14:solidFill>
              <w14:schemeClr w14:val="tx1"/>
            </w14:solidFill>
          </w14:textFill>
        </w:rPr>
        <w:t>3.《药物分析》       孙莹 吕洁      人民卫生出版社</w:t>
      </w:r>
    </w:p>
    <w:p>
      <w:pPr>
        <w:spacing w:line="360" w:lineRule="exact"/>
        <w:ind w:firstLine="482" w:firstLineChars="200"/>
        <w:rPr>
          <w:rFonts w:hint="default" w:ascii="Times New Roman" w:hAnsi="Times New Roman" w:cs="Times New Roman" w:eastAsiaTheme="minorEastAsia"/>
          <w:b/>
          <w:color w:val="000000" w:themeColor="text1"/>
          <w:kern w:val="0"/>
          <w:sz w:val="24"/>
          <w:szCs w:val="24"/>
          <w14:textFill>
            <w14:solidFill>
              <w14:schemeClr w14:val="tx1"/>
            </w14:solidFill>
          </w14:textFill>
        </w:rPr>
      </w:pPr>
    </w:p>
    <w:p>
      <w:pPr>
        <w:spacing w:line="360" w:lineRule="exact"/>
        <w:ind w:firstLine="422" w:firstLineChars="200"/>
        <w:rPr>
          <w:rFonts w:hint="default" w:ascii="Times New Roman" w:hAnsi="Times New Roman" w:cs="Times New Roman" w:eastAsiaTheme="minorEastAsia"/>
          <w:b/>
          <w:color w:val="000000" w:themeColor="text1"/>
          <w:kern w:val="0"/>
          <w:szCs w:val="21"/>
          <w14:textFill>
            <w14:solidFill>
              <w14:schemeClr w14:val="tx1"/>
            </w14:solidFill>
          </w14:textFill>
        </w:rPr>
      </w:pPr>
    </w:p>
    <w:p>
      <w:pPr>
        <w:spacing w:line="360" w:lineRule="exact"/>
        <w:ind w:firstLine="422" w:firstLineChars="200"/>
        <w:rPr>
          <w:rFonts w:hint="default" w:ascii="Times New Roman" w:hAnsi="Times New Roman" w:cs="Times New Roman" w:eastAsiaTheme="minorEastAsia"/>
          <w:b/>
          <w:color w:val="000000" w:themeColor="text1"/>
          <w:kern w:val="0"/>
          <w:szCs w:val="21"/>
          <w14:textFill>
            <w14:solidFill>
              <w14:schemeClr w14:val="tx1"/>
            </w14:solidFill>
          </w14:textFill>
        </w:rPr>
      </w:pPr>
    </w:p>
    <w:tbl>
      <w:tblPr>
        <w:tblStyle w:val="13"/>
        <w:tblpPr w:leftFromText="180" w:rightFromText="180" w:vertAnchor="text" w:horzAnchor="page" w:tblpX="1520" w:tblpY="370"/>
        <w:tblW w:w="8645"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095"/>
        <w:gridCol w:w="2480"/>
        <w:gridCol w:w="1226"/>
        <w:gridCol w:w="1225"/>
        <w:gridCol w:w="1494"/>
        <w:gridCol w:w="1125"/>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3706"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szCs w:val="32"/>
                <w14:textFill>
                  <w14:solidFill>
                    <w14:schemeClr w14:val="tx1"/>
                  </w14:solidFill>
                </w14:textFill>
              </w:rPr>
              <w:t>第</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十五</w:t>
            </w:r>
            <w:r>
              <w:rPr>
                <w:rFonts w:hint="default" w:ascii="Times New Roman" w:hAnsi="Times New Roman" w:cs="Times New Roman" w:eastAsiaTheme="minorEastAsia"/>
                <w:color w:val="000000" w:themeColor="text1"/>
                <w:sz w:val="24"/>
                <w:szCs w:val="32"/>
                <w14:textFill>
                  <w14:solidFill>
                    <w14:schemeClr w14:val="tx1"/>
                  </w14:solidFill>
                </w14:textFill>
              </w:rPr>
              <w:t xml:space="preserve">章 </w:t>
            </w:r>
            <w:r>
              <w:rPr>
                <w:rFonts w:hint="default" w:ascii="Times New Roman" w:hAnsi="Times New Roman" w:cs="Times New Roman" w:eastAsiaTheme="minorEastAsia"/>
                <w:color w:val="000000" w:themeColor="text1"/>
                <w:sz w:val="24"/>
                <w:szCs w:val="32"/>
                <w:lang w:val="en-US" w:eastAsia="zh-CN"/>
                <w14:textFill>
                  <w14:solidFill>
                    <w14:schemeClr w14:val="tx1"/>
                  </w14:solidFill>
                </w14:textFill>
              </w:rPr>
              <w:t>血液类</w:t>
            </w:r>
            <w:r>
              <w:rPr>
                <w:rFonts w:hint="default" w:ascii="Times New Roman" w:hAnsi="Times New Roman" w:cs="Times New Roman" w:eastAsiaTheme="minorEastAsia"/>
                <w:color w:val="000000" w:themeColor="text1"/>
                <w:sz w:val="24"/>
                <w:szCs w:val="32"/>
                <w14:textFill>
                  <w14:solidFill>
                    <w14:schemeClr w14:val="tx1"/>
                  </w14:solidFill>
                </w14:textFill>
              </w:rPr>
              <w:t>药物的分析</w:t>
            </w:r>
          </w:p>
        </w:tc>
        <w:tc>
          <w:tcPr>
            <w:tcW w:w="122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619"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5</w:t>
            </w:r>
            <w:r>
              <w:rPr>
                <w:rFonts w:hint="default" w:ascii="Times New Roman" w:hAnsi="Times New Roman" w:cs="Times New Roman" w:eastAsiaTheme="minorEastAsia"/>
                <w:b/>
                <w:color w:val="000000" w:themeColor="text1"/>
                <w14:textFill>
                  <w14:solidFill>
                    <w14:schemeClr w14:val="tx1"/>
                  </w14:solidFill>
                </w14:textFill>
              </w:rPr>
              <w:t>月</w:t>
            </w:r>
            <w:r>
              <w:rPr>
                <w:rFonts w:hint="default" w:ascii="Times New Roman" w:hAnsi="Times New Roman" w:cs="Times New Roman" w:eastAsiaTheme="minorEastAsia"/>
                <w:b/>
                <w:color w:val="000000" w:themeColor="text1"/>
                <w:lang w:val="en-US" w:eastAsia="zh-CN"/>
                <w14:textFill>
                  <w14:solidFill>
                    <w14:schemeClr w14:val="tx1"/>
                  </w14:solidFill>
                </w14:textFill>
              </w:rPr>
              <w:t>17、22</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09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480"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226"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225" w:type="dxa"/>
            <w:vAlign w:val="center"/>
          </w:tcPr>
          <w:p>
            <w:pPr>
              <w:spacing w:line="400" w:lineRule="exact"/>
              <w:jc w:val="center"/>
              <w:rPr>
                <w:rFonts w:hint="default" w:ascii="Times New Roman" w:hAnsi="Times New Roman" w:cs="Times New Roman" w:eastAsiaTheme="minorEastAsia"/>
                <w:color w:val="000000" w:themeColor="text1"/>
                <w:lang w:eastAsia="zh-CN"/>
                <w14:textFill>
                  <w14:solidFill>
                    <w14:schemeClr w14:val="tx1"/>
                  </w14:solidFill>
                </w14:textFill>
              </w:rPr>
            </w:pPr>
            <w:r>
              <w:rPr>
                <w:rFonts w:hint="default" w:ascii="Times New Roman" w:hAnsi="Times New Roman" w:cs="Times New Roman" w:eastAsiaTheme="minorEastAsia"/>
                <w:color w:val="000000" w:themeColor="text1"/>
                <w:lang w:val="en-US" w:eastAsia="zh-CN"/>
                <w14:textFill>
                  <w14:solidFill>
                    <w14:schemeClr w14:val="tx1"/>
                  </w14:solidFill>
                </w14:textFill>
              </w:rPr>
              <w:t>3</w:t>
            </w:r>
          </w:p>
        </w:tc>
        <w:tc>
          <w:tcPr>
            <w:tcW w:w="1494"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125"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tbl>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szCs w:val="21"/>
        </w:rPr>
        <w:t>概述</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1、了解生物制品的定义、分类、用途和研究进展</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2、了解生物制品进行质量控制的意义和标准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生物制品的质量监控</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1、物制品的质量监控的主要内容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2、理解生物制品的质量检定的方法和原理</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生物制品的质量检定的实例</w:t>
      </w:r>
    </w:p>
    <w:p>
      <w:pPr>
        <w:spacing w:line="360" w:lineRule="exact"/>
        <w:ind w:left="42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了解生物制品的质量检定的程序及标准</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adjustRightInd w:val="0"/>
        <w:snapToGrid w:val="0"/>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【重点和难点】</w:t>
      </w:r>
    </w:p>
    <w:p>
      <w:pPr>
        <w:spacing w:line="400" w:lineRule="exact"/>
        <w:ind w:left="315" w:hanging="315" w:hangingChars="15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1、掌握</w:t>
      </w:r>
      <w:r>
        <w:rPr>
          <w:rFonts w:hint="default" w:ascii="Times New Roman" w:hAnsi="Times New Roman" w:cs="Times New Roman" w:eastAsiaTheme="minorEastAsia"/>
          <w:color w:val="000000" w:themeColor="text1"/>
          <w:szCs w:val="21"/>
          <w14:textFill>
            <w14:solidFill>
              <w14:schemeClr w14:val="tx1"/>
            </w14:solidFill>
          </w14:textFill>
        </w:rPr>
        <w:t>生物制品的质量控制和</w:t>
      </w:r>
      <w:r>
        <w:rPr>
          <w:rFonts w:hint="default" w:ascii="Times New Roman" w:hAnsi="Times New Roman" w:cs="Times New Roman" w:eastAsiaTheme="minorEastAsia"/>
          <w:color w:val="000000" w:themeColor="text1"/>
          <w14:textFill>
            <w14:solidFill>
              <w14:schemeClr w14:val="tx1"/>
            </w14:solidFill>
          </w14:textFill>
        </w:rPr>
        <w:t>分析的方法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2、熟悉几种生物制品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【教学内容】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1）概述</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2）生物制品的质量控制</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3）生物制品质量鉴定的实例；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ind w:firstLine="413"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相关教学幻灯片，展示生活中常见的生物制品，由此引出本节课讲授的具体内容。与幻灯片内容相互配合进行讲解。需要理解和识记的内容播放较慢。</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生物制品的概念、分类及用途：</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生物制品（biological product）是应用普通的或以基因工程、细胞工程、蛋白质工程、发酵工程等生物技术获得的微生物、细胞及各种动物和人源的组织和液体等生物材料制备，用于人类疾病预防、治疗和诊断的药品</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生物制品的特点：来自生物体；生物体中的基本成分；主要通过生物学方法和技术制备及检定。一般不包括传统的生化药物，或抗生素及从中药中提取、分离出的生物活性物质</w:t>
      </w:r>
    </w:p>
    <w:p>
      <w:pPr>
        <w:numPr>
          <w:ilvl w:val="0"/>
          <w:numId w:val="18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预防类制品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菌苗（bacterial vaccine）：由有关细菌、螺旋体或其衍生物制成的减毒活菌苗、灭活菌苗、亚单位菌苗、基因工程菌苗等</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疫苗（vaccine）：由病毒、衣原体、立克次体或其衍生物制成的减毒活疫苗、灭活疫苗、亚单位疫苗、基因工程疫苗等</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类毒素 由细菌产生的外毒素经脱毒后制成。常用的有白喉、破伤风、肉毒素及葡萄球菌类毒素等。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混合制剂 由2种或以上疫苗、菌苗、抗原液配置成的具有多种免疫原性的灭活疫苗或活疫苗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2、治疗类生物制品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免疫血清及抗毒素</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由特定抗原免疫动物，经采血、分离血浆或血清，而后精制而成。抗细菌和病毒的称抗血清，抗蛇毒和其他毒液的称抗毒血清，这两者统称为免疫血清；抗微生物毒素的称抗毒素</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 血液制品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由健康人的血浆或特异免疫人血浆分离、提纯或由重组DNA技术制成的血浆蛋白组分或血细胞组分制品，可用于诊断、治疗或被动免疫预防。</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细胞因子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或称为细胞生长调节因子，系在体内和体外对效应细胞的生长、增殖和分化起调控作用的一类物质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重组DNA产品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重组DNA产品是指利用重组DNA技术制备的生物制品。有重组激素类药物，重组疫苗</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诊断类制品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体外诊断制品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由特定抗原、抗体或有关生物物质制成的免疫诊断试剂或诊断试剂盒，用于体外免疫诊断</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体内诊断制品 </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由变态反应原或有关抗原材料制成的免疫诊断试剂，用于皮内接种，以判断个体对病原的易感性或免疫状态，用于体内免疫诊断</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其他制品</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由有关生物材料或特定方法制成，不属于上述几类的其他生物制剂，用于治疗或预防疾病。如治疗用A型肉毒素制剂、微生态制剂、核酸制剂等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生物制品的质量要求</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1、生物制品必须强调质量第一的原则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质量好的生物制品必须具备两个重要条件：安全和有效</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生物制品的质量要求：世界卫生组织要求各国生产的制品必须有专门检定机构负责成品的质量检定，检定部门要有熟练的高级技术人员，精良的设备条件，以保证检定工作的质量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未经专门检定部门正式发给检定合格的制品，不准出品使用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生物制品质量监控的作用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有助于提高生物制品的质量，保证人民身体健康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可以辅助控制、改进工艺，加快新制品的研发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检定包括安全性和效力检定两方面  </w:t>
      </w:r>
    </w:p>
    <w:p>
      <w:pPr>
        <w:numPr>
          <w:ilvl w:val="0"/>
          <w:numId w:val="18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安全性检定包括 </w:t>
      </w:r>
    </w:p>
    <w:p>
      <w:pPr>
        <w:numPr>
          <w:ilvl w:val="0"/>
          <w:numId w:val="1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毒性试验；        防腐性试验；</w:t>
      </w:r>
    </w:p>
    <w:p>
      <w:pPr>
        <w:numPr>
          <w:ilvl w:val="0"/>
          <w:numId w:val="1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热原质试验；    安全试验；</w:t>
      </w:r>
    </w:p>
    <w:p>
      <w:pPr>
        <w:numPr>
          <w:ilvl w:val="0"/>
          <w:numId w:val="1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有关安全性的特殊试验</w:t>
      </w:r>
    </w:p>
    <w:p>
      <w:pPr>
        <w:numPr>
          <w:ilvl w:val="0"/>
          <w:numId w:val="1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效力检定包括 </w:t>
      </w:r>
    </w:p>
    <w:p>
      <w:pPr>
        <w:numPr>
          <w:ilvl w:val="0"/>
          <w:numId w:val="19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浓度测定（含菌数或纯化抗原量）；</w:t>
      </w:r>
    </w:p>
    <w:p>
      <w:pPr>
        <w:numPr>
          <w:ilvl w:val="0"/>
          <w:numId w:val="19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活菌率或病毒滴度测定；   动物保护率试验；</w:t>
      </w:r>
    </w:p>
    <w:p>
      <w:pPr>
        <w:numPr>
          <w:ilvl w:val="0"/>
          <w:numId w:val="19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免疫抗体滴度测定；          稳定性试验 </w:t>
      </w:r>
    </w:p>
    <w:p>
      <w:pPr>
        <w:numPr>
          <w:ilvl w:val="0"/>
          <w:numId w:val="19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可接受性</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生物制品质量监控的主要内容 </w:t>
      </w:r>
    </w:p>
    <w:p>
      <w:pPr>
        <w:numPr>
          <w:ilvl w:val="0"/>
          <w:numId w:val="19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生物制品的鉴别 </w:t>
      </w:r>
    </w:p>
    <w:p>
      <w:pPr>
        <w:numPr>
          <w:ilvl w:val="0"/>
          <w:numId w:val="19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主要通过生物学方法进行 </w:t>
      </w:r>
    </w:p>
    <w:p>
      <w:pPr>
        <w:numPr>
          <w:ilvl w:val="0"/>
          <w:numId w:val="19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生物制品的检查 </w:t>
      </w:r>
    </w:p>
    <w:p>
      <w:pPr>
        <w:numPr>
          <w:ilvl w:val="0"/>
          <w:numId w:val="19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主要指纯度检查 </w:t>
      </w:r>
    </w:p>
    <w:p>
      <w:pPr>
        <w:numPr>
          <w:ilvl w:val="0"/>
          <w:numId w:val="19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生物制品的含量测定</w:t>
      </w:r>
    </w:p>
    <w:p>
      <w:pPr>
        <w:numPr>
          <w:ilvl w:val="0"/>
          <w:numId w:val="19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物理性状检查 </w:t>
      </w:r>
    </w:p>
    <w:p>
      <w:pPr>
        <w:numPr>
          <w:ilvl w:val="0"/>
          <w:numId w:val="19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外观 </w:t>
      </w:r>
    </w:p>
    <w:p>
      <w:pPr>
        <w:numPr>
          <w:ilvl w:val="0"/>
          <w:numId w:val="20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透明液体制品 </w:t>
      </w:r>
    </w:p>
    <w:p>
      <w:pPr>
        <w:numPr>
          <w:ilvl w:val="0"/>
          <w:numId w:val="20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混悬液制品 </w:t>
      </w:r>
    </w:p>
    <w:p>
      <w:pPr>
        <w:numPr>
          <w:ilvl w:val="0"/>
          <w:numId w:val="20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冻干制品 </w:t>
      </w:r>
    </w:p>
    <w:p>
      <w:pPr>
        <w:numPr>
          <w:ilvl w:val="0"/>
          <w:numId w:val="20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真空度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溶解时间</w:t>
      </w:r>
    </w:p>
    <w:p>
      <w:pPr>
        <w:numPr>
          <w:ilvl w:val="0"/>
          <w:numId w:val="20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蛋白质含量测定 </w:t>
      </w:r>
    </w:p>
    <w:p>
      <w:pPr>
        <w:numPr>
          <w:ilvl w:val="0"/>
          <w:numId w:val="20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半微量凯式定氮法 </w:t>
      </w:r>
    </w:p>
    <w:p>
      <w:pPr>
        <w:numPr>
          <w:ilvl w:val="0"/>
          <w:numId w:val="20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酚试剂法 </w:t>
      </w:r>
    </w:p>
    <w:p>
      <w:pPr>
        <w:numPr>
          <w:ilvl w:val="0"/>
          <w:numId w:val="20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紫外吸收法 </w:t>
      </w:r>
    </w:p>
    <w:p>
      <w:pPr>
        <w:numPr>
          <w:ilvl w:val="0"/>
          <w:numId w:val="20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防腐剂和灭活剂含量测定 </w:t>
      </w:r>
    </w:p>
    <w:p>
      <w:pPr>
        <w:numPr>
          <w:ilvl w:val="0"/>
          <w:numId w:val="20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苯酚含量 </w:t>
      </w:r>
    </w:p>
    <w:p>
      <w:pPr>
        <w:numPr>
          <w:ilvl w:val="0"/>
          <w:numId w:val="20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汞类防腐剂含量 </w:t>
      </w:r>
    </w:p>
    <w:p>
      <w:pPr>
        <w:numPr>
          <w:ilvl w:val="0"/>
          <w:numId w:val="20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氯仿含量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游离甲醛含量</w:t>
      </w:r>
    </w:p>
    <w:p>
      <w:pPr>
        <w:numPr>
          <w:ilvl w:val="0"/>
          <w:numId w:val="20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纯度检查 </w:t>
      </w:r>
    </w:p>
    <w:p>
      <w:pPr>
        <w:numPr>
          <w:ilvl w:val="0"/>
          <w:numId w:val="20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电泳法 </w:t>
      </w:r>
    </w:p>
    <w:p>
      <w:pPr>
        <w:numPr>
          <w:ilvl w:val="0"/>
          <w:numId w:val="20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区带电泳法 </w:t>
      </w:r>
    </w:p>
    <w:p>
      <w:pPr>
        <w:numPr>
          <w:ilvl w:val="0"/>
          <w:numId w:val="20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免疫电泳 </w:t>
      </w:r>
    </w:p>
    <w:p>
      <w:pPr>
        <w:numPr>
          <w:ilvl w:val="0"/>
          <w:numId w:val="20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凝胶层析法 </w:t>
      </w:r>
    </w:p>
    <w:p>
      <w:pPr>
        <w:numPr>
          <w:ilvl w:val="0"/>
          <w:numId w:val="21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其他 </w:t>
      </w:r>
    </w:p>
    <w:p>
      <w:pPr>
        <w:numPr>
          <w:ilvl w:val="0"/>
          <w:numId w:val="21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水分含量测定 </w:t>
      </w:r>
    </w:p>
    <w:p>
      <w:pPr>
        <w:numPr>
          <w:ilvl w:val="0"/>
          <w:numId w:val="21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氢氧化铝含量测定 </w:t>
      </w:r>
    </w:p>
    <w:p>
      <w:pPr>
        <w:numPr>
          <w:ilvl w:val="0"/>
          <w:numId w:val="21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磷、O-乙酰基含量测定 </w:t>
      </w:r>
    </w:p>
    <w:p>
      <w:pPr>
        <w:numPr>
          <w:ilvl w:val="0"/>
          <w:numId w:val="21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检查对象 </w:t>
      </w:r>
    </w:p>
    <w:p>
      <w:pPr>
        <w:numPr>
          <w:ilvl w:val="0"/>
          <w:numId w:val="21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菌毒种和主要原材料 </w:t>
      </w:r>
    </w:p>
    <w:p>
      <w:pPr>
        <w:numPr>
          <w:ilvl w:val="0"/>
          <w:numId w:val="21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半成品 </w:t>
      </w:r>
    </w:p>
    <w:p>
      <w:pPr>
        <w:numPr>
          <w:ilvl w:val="0"/>
          <w:numId w:val="21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成品 </w:t>
      </w:r>
    </w:p>
    <w:p>
      <w:pPr>
        <w:numPr>
          <w:ilvl w:val="0"/>
          <w:numId w:val="21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检查内容 </w:t>
      </w:r>
    </w:p>
    <w:p>
      <w:pPr>
        <w:numPr>
          <w:ilvl w:val="0"/>
          <w:numId w:val="21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一般安全性检查 </w:t>
      </w:r>
    </w:p>
    <w:p>
      <w:pPr>
        <w:numPr>
          <w:ilvl w:val="0"/>
          <w:numId w:val="21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杀菌、灭活和脱毒情况的检查 </w:t>
      </w:r>
    </w:p>
    <w:p>
      <w:pPr>
        <w:numPr>
          <w:ilvl w:val="0"/>
          <w:numId w:val="21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外源性污染检查 </w:t>
      </w:r>
    </w:p>
    <w:p>
      <w:pPr>
        <w:numPr>
          <w:ilvl w:val="0"/>
          <w:numId w:val="21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过敏性物质检查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一般安全性检查 </w:t>
      </w:r>
    </w:p>
    <w:p>
      <w:pPr>
        <w:numPr>
          <w:ilvl w:val="0"/>
          <w:numId w:val="21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安全试验 </w:t>
      </w:r>
    </w:p>
    <w:p>
      <w:pPr>
        <w:numPr>
          <w:ilvl w:val="0"/>
          <w:numId w:val="21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无菌试验 </w:t>
      </w:r>
    </w:p>
    <w:p>
      <w:pPr>
        <w:numPr>
          <w:ilvl w:val="0"/>
          <w:numId w:val="21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生物制品不得含有杂菌</w:t>
      </w:r>
    </w:p>
    <w:p>
      <w:pPr>
        <w:numPr>
          <w:ilvl w:val="0"/>
          <w:numId w:val="21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灭活疫苗不得含有活的本菌、本毒</w:t>
      </w:r>
    </w:p>
    <w:p>
      <w:pPr>
        <w:numPr>
          <w:ilvl w:val="0"/>
          <w:numId w:val="21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制造过程进行无菌试验，制品须做最后检定</w:t>
      </w:r>
    </w:p>
    <w:p>
      <w:pPr>
        <w:numPr>
          <w:ilvl w:val="0"/>
          <w:numId w:val="21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无菌试验的抽样</w:t>
      </w:r>
    </w:p>
    <w:p>
      <w:pPr>
        <w:numPr>
          <w:ilvl w:val="0"/>
          <w:numId w:val="21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原液及半成品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原液及半成品应每瓶分别进行无菌试验，其抽样量应至少为0.1%，但不得少于1.0ml </w:t>
      </w:r>
    </w:p>
    <w:p>
      <w:pPr>
        <w:numPr>
          <w:ilvl w:val="0"/>
          <w:numId w:val="22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无菌试验的抽样 </w:t>
      </w:r>
    </w:p>
    <w:p>
      <w:pPr>
        <w:numPr>
          <w:ilvl w:val="0"/>
          <w:numId w:val="22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成品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每批均应无菌试验，样品随机抽取，应具有代表性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分装量&lt;=100支抽检不少于5支，101～500支者抽检不少于10支，501～10000支者抽检不少于20支，10001支以上者抽检40支</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每瓶装量&gt;=20ml冻干血液制品，每冻干&lt;200瓶抽检2瓶，&gt;=200瓶抽检4瓶。6～20ml抽检量加倍</w:t>
      </w:r>
    </w:p>
    <w:p>
      <w:pPr>
        <w:numPr>
          <w:ilvl w:val="0"/>
          <w:numId w:val="22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无菌试验方法</w:t>
      </w:r>
    </w:p>
    <w:p>
      <w:pPr>
        <w:numPr>
          <w:ilvl w:val="0"/>
          <w:numId w:val="22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无菌试验取样、移种等全部操作，应在无菌条件下进行</w:t>
      </w:r>
    </w:p>
    <w:p>
      <w:pPr>
        <w:numPr>
          <w:ilvl w:val="0"/>
          <w:numId w:val="22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菌苗、疫苗、类毒素、抗毒素类制品及粘稠不易过滤的血液制品应用直接接种法进行无菌试验</w:t>
      </w:r>
    </w:p>
    <w:p>
      <w:pPr>
        <w:numPr>
          <w:ilvl w:val="0"/>
          <w:numId w:val="22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无菌试验的判定</w:t>
      </w:r>
    </w:p>
    <w:p>
      <w:pPr>
        <w:numPr>
          <w:ilvl w:val="0"/>
          <w:numId w:val="22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无杂菌生长判为合格</w:t>
      </w:r>
    </w:p>
    <w:p>
      <w:pPr>
        <w:numPr>
          <w:ilvl w:val="0"/>
          <w:numId w:val="22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发现杂菌生长，复试，该制品量应加倍。若复试仍有同样杂菌生长，该制品判为不合格</w:t>
      </w:r>
    </w:p>
    <w:p>
      <w:pPr>
        <w:numPr>
          <w:ilvl w:val="0"/>
          <w:numId w:val="22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如为不同杂菌生长，可第二次复试，复试样品为第一次复试量的2倍，若仍有杂菌生长该制品判为不合格</w:t>
      </w:r>
    </w:p>
    <w:p>
      <w:pPr>
        <w:numPr>
          <w:ilvl w:val="0"/>
          <w:numId w:val="22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支原体阳性者不复试，该批制品判为不合格</w:t>
      </w:r>
    </w:p>
    <w:p>
      <w:pPr>
        <w:numPr>
          <w:ilvl w:val="0"/>
          <w:numId w:val="22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热原试验</w:t>
      </w:r>
    </w:p>
    <w:p>
      <w:pPr>
        <w:spacing w:line="400" w:lineRule="exact"/>
        <w:ind w:firstLine="420" w:firstLineChars="20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将一定剂量的样品静脉注入家兔，在规定期间内观察家兔体温升高情况，以判定样品中所含热原质的限度是否符合规定的一种方法</w:t>
      </w:r>
    </w:p>
    <w:p>
      <w:pPr>
        <w:numPr>
          <w:ilvl w:val="0"/>
          <w:numId w:val="22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杀菌、灭活和脱毒情况的检查 </w:t>
      </w:r>
    </w:p>
    <w:p>
      <w:pPr>
        <w:numPr>
          <w:ilvl w:val="0"/>
          <w:numId w:val="22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活毒检查（灭活疫苗） </w:t>
      </w:r>
    </w:p>
    <w:p>
      <w:pPr>
        <w:numPr>
          <w:ilvl w:val="0"/>
          <w:numId w:val="22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解毒试验（类毒素产品） </w:t>
      </w:r>
    </w:p>
    <w:p>
      <w:pPr>
        <w:numPr>
          <w:ilvl w:val="0"/>
          <w:numId w:val="22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残余毒力试验（活疫苗） </w:t>
      </w:r>
    </w:p>
    <w:p>
      <w:pPr>
        <w:numPr>
          <w:ilvl w:val="0"/>
          <w:numId w:val="22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外源性污染检查 </w:t>
      </w:r>
    </w:p>
    <w:p>
      <w:pPr>
        <w:numPr>
          <w:ilvl w:val="0"/>
          <w:numId w:val="23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野毒检查 </w:t>
      </w:r>
    </w:p>
    <w:p>
      <w:pPr>
        <w:numPr>
          <w:ilvl w:val="0"/>
          <w:numId w:val="23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乙肝病毒表明抗原、丙肝抗体和人类免疫缺陷病毒的抗体检查 </w:t>
      </w:r>
    </w:p>
    <w:p>
      <w:pPr>
        <w:numPr>
          <w:ilvl w:val="0"/>
          <w:numId w:val="23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外源性污染检查 </w:t>
      </w:r>
    </w:p>
    <w:p>
      <w:pPr>
        <w:numPr>
          <w:ilvl w:val="0"/>
          <w:numId w:val="23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野毒检查 </w:t>
      </w:r>
    </w:p>
    <w:p>
      <w:pPr>
        <w:numPr>
          <w:ilvl w:val="0"/>
          <w:numId w:val="23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乙肝病毒表明抗原、丙肝抗体和人类免疫缺陷病毒的抗体检查 </w:t>
      </w:r>
    </w:p>
    <w:p>
      <w:pPr>
        <w:numPr>
          <w:ilvl w:val="0"/>
          <w:numId w:val="23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过敏性物质检查 </w:t>
      </w:r>
    </w:p>
    <w:p>
      <w:pPr>
        <w:numPr>
          <w:ilvl w:val="0"/>
          <w:numId w:val="23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过敏性试验 </w:t>
      </w:r>
    </w:p>
    <w:p>
      <w:pPr>
        <w:numPr>
          <w:ilvl w:val="0"/>
          <w:numId w:val="23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牛血清含量测定 </w:t>
      </w:r>
    </w:p>
    <w:p>
      <w:pPr>
        <w:numPr>
          <w:ilvl w:val="0"/>
          <w:numId w:val="23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血型物质的检测 </w:t>
      </w:r>
    </w:p>
    <w:p>
      <w:pPr>
        <w:numPr>
          <w:ilvl w:val="0"/>
          <w:numId w:val="23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免疫力试验 </w:t>
      </w:r>
    </w:p>
    <w:p>
      <w:pPr>
        <w:numPr>
          <w:ilvl w:val="0"/>
          <w:numId w:val="23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定量免疫定量攻击法 </w:t>
      </w:r>
    </w:p>
    <w:p>
      <w:pPr>
        <w:numPr>
          <w:ilvl w:val="0"/>
          <w:numId w:val="23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变量免疫定量攻击法 </w:t>
      </w:r>
    </w:p>
    <w:p>
      <w:pPr>
        <w:numPr>
          <w:ilvl w:val="0"/>
          <w:numId w:val="23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定量免疫变量攻击法 </w:t>
      </w:r>
    </w:p>
    <w:p>
      <w:pPr>
        <w:numPr>
          <w:ilvl w:val="0"/>
          <w:numId w:val="23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活菌疫苗的效力测定 </w:t>
      </w:r>
    </w:p>
    <w:p>
      <w:pPr>
        <w:numPr>
          <w:ilvl w:val="0"/>
          <w:numId w:val="23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活菌含量测定 </w:t>
      </w:r>
    </w:p>
    <w:p>
      <w:pPr>
        <w:numPr>
          <w:ilvl w:val="0"/>
          <w:numId w:val="23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活病毒滴度测定 </w:t>
      </w:r>
    </w:p>
    <w:p>
      <w:pPr>
        <w:numPr>
          <w:ilvl w:val="0"/>
          <w:numId w:val="23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抗毒素和类毒素单位测定 </w:t>
      </w:r>
    </w:p>
    <w:p>
      <w:pPr>
        <w:numPr>
          <w:ilvl w:val="0"/>
          <w:numId w:val="24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抗毒素单位测定 </w:t>
      </w:r>
    </w:p>
    <w:p>
      <w:pPr>
        <w:numPr>
          <w:ilvl w:val="0"/>
          <w:numId w:val="24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絮状单位测定 </w:t>
      </w:r>
    </w:p>
    <w:p>
      <w:pPr>
        <w:numPr>
          <w:ilvl w:val="0"/>
          <w:numId w:val="24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血清学试验 </w:t>
      </w:r>
    </w:p>
    <w:p>
      <w:pPr>
        <w:numPr>
          <w:ilvl w:val="0"/>
          <w:numId w:val="24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凝集反应 </w:t>
      </w:r>
    </w:p>
    <w:p>
      <w:pPr>
        <w:numPr>
          <w:ilvl w:val="0"/>
          <w:numId w:val="24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沉淀反应 </w:t>
      </w:r>
    </w:p>
    <w:p>
      <w:pPr>
        <w:numPr>
          <w:ilvl w:val="0"/>
          <w:numId w:val="24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免疫荧光技术 </w:t>
      </w:r>
    </w:p>
    <w:p>
      <w:pPr>
        <w:numPr>
          <w:ilvl w:val="0"/>
          <w:numId w:val="24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酶标免疫技术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生物制品质量检定的实例：</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numPr>
          <w:ilvl w:val="0"/>
          <w:numId w:val="24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用伤寒菌培育后取菌苔制成悬液，加甲醛杀菌，以生理盐水稀释成每ml含菌3亿制成。用于预防伤寒</w:t>
      </w:r>
    </w:p>
    <w:p>
      <w:pPr>
        <w:numPr>
          <w:ilvl w:val="0"/>
          <w:numId w:val="24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  菌种</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1.1 菌种来源</w:t>
      </w:r>
    </w:p>
    <w:p>
      <w:pPr>
        <w:numPr>
          <w:ilvl w:val="0"/>
          <w:numId w:val="24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制造伤寒菌苗用的菌种，中国药品生物制品检定所。</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  菌种检定</w:t>
      </w:r>
    </w:p>
    <w:p>
      <w:pPr>
        <w:numPr>
          <w:ilvl w:val="0"/>
          <w:numId w:val="24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菌种培养用pH7.2～7.4的肉汤琼脂。</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1.2.1  培养特性</w:t>
      </w:r>
    </w:p>
    <w:p>
      <w:pPr>
        <w:numPr>
          <w:ilvl w:val="0"/>
          <w:numId w:val="24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制造菌苗的菌株应具有典型的形态、培养和生化特性。</w:t>
      </w:r>
    </w:p>
    <w:p>
      <w:pPr>
        <w:numPr>
          <w:ilvl w:val="0"/>
          <w:numId w:val="24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1.2.2  血清凝集试验</w:t>
      </w:r>
    </w:p>
    <w:p>
      <w:pPr>
        <w:numPr>
          <w:ilvl w:val="0"/>
          <w:numId w:val="24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伤寒菌：37℃，18～20小时，生理盐水稀释6亿/ml</w:t>
      </w:r>
    </w:p>
    <w:p>
      <w:pPr>
        <w:numPr>
          <w:ilvl w:val="0"/>
          <w:numId w:val="24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伤寒菌诊断血清</w:t>
      </w:r>
    </w:p>
    <w:p>
      <w:pPr>
        <w:numPr>
          <w:ilvl w:val="0"/>
          <w:numId w:val="24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定量凝集试验：充分混合，37℃，过夜</w:t>
      </w:r>
    </w:p>
    <w:p>
      <w:pPr>
        <w:numPr>
          <w:ilvl w:val="0"/>
          <w:numId w:val="24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肉眼：凝集（+）</w:t>
      </w:r>
    </w:p>
    <w:p>
      <w:pPr>
        <w:numPr>
          <w:ilvl w:val="0"/>
          <w:numId w:val="24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1.2.3   毒力试验</w:t>
      </w:r>
    </w:p>
    <w:p>
      <w:pPr>
        <w:numPr>
          <w:ilvl w:val="0"/>
          <w:numId w:val="2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37℃，12～16小时，琼脂培养物。</w:t>
      </w:r>
    </w:p>
    <w:p>
      <w:pPr>
        <w:numPr>
          <w:ilvl w:val="0"/>
          <w:numId w:val="2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生理盐水稀释，6亿/ml、3亿/ml、1.5亿/ml、0.75亿/ml菌液。</w:t>
      </w:r>
    </w:p>
    <w:p>
      <w:pPr>
        <w:numPr>
          <w:ilvl w:val="0"/>
          <w:numId w:val="2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每稀释度菌液腹腔注射体重14～16g小白鼠，最少5只，0.5ml/只，观察3天。</w:t>
      </w:r>
    </w:p>
    <w:p>
      <w:pPr>
        <w:numPr>
          <w:ilvl w:val="0"/>
          <w:numId w:val="2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小白鼠于感染后3天内全部死亡的最小剂量为1个致死量（LD）。 </w:t>
      </w:r>
    </w:p>
    <w:p>
      <w:pPr>
        <w:numPr>
          <w:ilvl w:val="0"/>
          <w:numId w:val="24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1.2.4  免疫力试验</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菌液：加温杀菌2.5亿/ml</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小白鼠：体重14～16g，30只</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免疫：皮下注射0.5ml/只，2次，间隔7天</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攻毒：</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末次免疫后10天，免疫组小白鼠腹腔注射1LD毒菌。</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对照小白鼠3组，5只/组，分别于腹腔注射2、1及1/2 LD的毒菌，观察3天。</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结果：</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对照组小白鼠感染2及1 LD者应全部死亡，感染1/2LD者要有部分死亡。</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免疫组至少保护70%小白鼠活存，合格。</w:t>
      </w:r>
    </w:p>
    <w:p>
      <w:pPr>
        <w:numPr>
          <w:ilvl w:val="0"/>
          <w:numId w:val="25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1.2.5   抗原性试验</w:t>
      </w:r>
    </w:p>
    <w:p>
      <w:pPr>
        <w:numPr>
          <w:ilvl w:val="0"/>
          <w:numId w:val="2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家兔：体重2kg，3只，</w:t>
      </w:r>
    </w:p>
    <w:p>
      <w:pPr>
        <w:numPr>
          <w:ilvl w:val="0"/>
          <w:numId w:val="2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菌液：同免疫力试验</w:t>
      </w:r>
    </w:p>
    <w:p>
      <w:pPr>
        <w:numPr>
          <w:ilvl w:val="0"/>
          <w:numId w:val="2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免疫：静脉注射，3次，0.5ml/次，第1次7亿菌，第2次14亿菌，第3次21亿菌，每次间隔7天。</w:t>
      </w:r>
    </w:p>
    <w:p>
      <w:pPr>
        <w:numPr>
          <w:ilvl w:val="0"/>
          <w:numId w:val="2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定量凝集试验测定效价：末次注射后10～14天采血，2/3家兔血清之凝集效价不低于1∶12800，合格。 </w:t>
      </w:r>
    </w:p>
    <w:p>
      <w:pPr>
        <w:numPr>
          <w:ilvl w:val="0"/>
          <w:numId w:val="25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  菌苗制造</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2.1 菌种</w:t>
      </w:r>
    </w:p>
    <w:p>
      <w:pPr>
        <w:numPr>
          <w:ilvl w:val="0"/>
          <w:numId w:val="25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冻干菌种启开后应检查菌形、纯度及玻片凝集试验，合格后使用，每启开1支冻干菌种用于生产不应超过6代。</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2.2 制造用培养基</w:t>
      </w:r>
    </w:p>
    <w:p>
      <w:pPr>
        <w:numPr>
          <w:ilvl w:val="0"/>
          <w:numId w:val="25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pH7.2～7.4的肉汤琼脂。 </w:t>
      </w:r>
    </w:p>
    <w:p>
      <w:pPr>
        <w:numPr>
          <w:ilvl w:val="0"/>
          <w:numId w:val="25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 原液制造</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2.3.1 接种</w:t>
      </w:r>
    </w:p>
    <w:p>
      <w:pPr>
        <w:numPr>
          <w:ilvl w:val="0"/>
          <w:numId w:val="25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可采用涂种，接种后置37℃培育18～24小时。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2.3.2 采集</w:t>
      </w:r>
    </w:p>
    <w:p>
      <w:pPr>
        <w:numPr>
          <w:ilvl w:val="0"/>
          <w:numId w:val="25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采集前应逐瓶检查，有杂菌者废弃。刮取菌苔混悬于生理盐水。</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2.3.3 纯菌试验</w:t>
      </w:r>
    </w:p>
    <w:p>
      <w:pPr>
        <w:numPr>
          <w:ilvl w:val="0"/>
          <w:numId w:val="25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原液采集后应逐瓶取样接种琼脂斜面1管，于37℃培育2天，有杂菌废弃。 </w:t>
      </w:r>
    </w:p>
    <w:p>
      <w:pPr>
        <w:numPr>
          <w:ilvl w:val="0"/>
          <w:numId w:val="25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2.3.4  杀菌</w:t>
      </w:r>
    </w:p>
    <w:p>
      <w:pPr>
        <w:numPr>
          <w:ilvl w:val="0"/>
          <w:numId w:val="25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原液中加入1%(ml/ml)的甲醛溶液杀菌。加杀菌剂后的原液应放在37℃，不得超过7天，以后保存于2～8℃。</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2.3.5  免疫力试验</w:t>
      </w:r>
    </w:p>
    <w:p>
      <w:pPr>
        <w:numPr>
          <w:ilvl w:val="0"/>
          <w:numId w:val="25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方法同1.2.5项，小白鼠每组至少15只，保护60%免疫小白鼠活存为合格。</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2.4  菌苗稀释</w:t>
      </w:r>
    </w:p>
    <w:p>
      <w:pPr>
        <w:numPr>
          <w:ilvl w:val="0"/>
          <w:numId w:val="25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稀释菌苗用含0.25%～0.5%（g/ml）苯酚生理盐水，每ml含伤寒菌3亿。</w:t>
      </w:r>
    </w:p>
    <w:p>
      <w:pPr>
        <w:numPr>
          <w:ilvl w:val="0"/>
          <w:numId w:val="25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  成品检定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3.1 物理化学检查</w:t>
      </w:r>
    </w:p>
    <w:p>
      <w:pPr>
        <w:numPr>
          <w:ilvl w:val="0"/>
          <w:numId w:val="26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乳白色悬液，pH值为6.8～7.4，不应有摇不散的菌块及异物。苯酚含量0.25%～0.5%。</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3.2  菌形及纯度</w:t>
      </w:r>
    </w:p>
    <w:p>
      <w:pPr>
        <w:numPr>
          <w:ilvl w:val="0"/>
          <w:numId w:val="26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染色镜检，应为革兰氏阴性杆菌。不应有杂菌。</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3.3 无菌试验</w:t>
      </w:r>
    </w:p>
    <w:p>
      <w:pPr>
        <w:numPr>
          <w:ilvl w:val="0"/>
          <w:numId w:val="26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按《生物制品无菌试验规程》进行。 </w:t>
      </w:r>
    </w:p>
    <w:p>
      <w:pPr>
        <w:numPr>
          <w:ilvl w:val="0"/>
          <w:numId w:val="26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3.4  安全试验</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3.4.1  毒性试验</w:t>
      </w:r>
    </w:p>
    <w:p>
      <w:pPr>
        <w:numPr>
          <w:ilvl w:val="0"/>
          <w:numId w:val="26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用体重18～20g健康小白鼠5只，每只腹腔注射菌苗0.5ml，观察7日，无死亡。 </w:t>
      </w:r>
    </w:p>
    <w:p>
      <w:pPr>
        <w:numPr>
          <w:ilvl w:val="0"/>
          <w:numId w:val="26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伤寒菌苗检定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3.4.2   防腐剂试验</w:t>
      </w:r>
    </w:p>
    <w:p>
      <w:pPr>
        <w:numPr>
          <w:ilvl w:val="0"/>
          <w:numId w:val="26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用体重18～20g健康小白鼠2只，每只皮下注射菌苗0.5ml，用苯酚作防腐剂的菌苗注射的小白鼠会发生战栗症状，但不应超过半小时，观察7日，不得有局部脓肿或死亡。</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4   保存与效期</w:t>
      </w:r>
    </w:p>
    <w:p>
      <w:pPr>
        <w:numPr>
          <w:ilvl w:val="0"/>
          <w:numId w:val="26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应保存于2～8℃。自稀释之日起效期为1年半。</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白喉抗毒素的检定</w:t>
      </w:r>
    </w:p>
    <w:p>
      <w:pPr>
        <w:numPr>
          <w:ilvl w:val="0"/>
          <w:numId w:val="26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白喉是白喉杆菌引起的急性呼吸道传染病 </w:t>
      </w:r>
    </w:p>
    <w:p>
      <w:pPr>
        <w:numPr>
          <w:ilvl w:val="0"/>
          <w:numId w:val="26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白喉杆菌严格寄生于人类，主要通过呼吸道飞沫传播，可侵入人体的鼻粘膜或咽喉，繁殖并产生外毒素，引起局部炎症及组织坏死 </w:t>
      </w:r>
    </w:p>
    <w:p>
      <w:pPr>
        <w:numPr>
          <w:ilvl w:val="0"/>
          <w:numId w:val="26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白喉抗毒素是将白喉类毒素免疫马而得的血浆经胃酶消化后用硫酸铵盐析法提取制得的液体或冻干状抗毒素蛋白制剂</w:t>
      </w:r>
    </w:p>
    <w:p>
      <w:pPr>
        <w:numPr>
          <w:ilvl w:val="0"/>
          <w:numId w:val="26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白喉抗毒素的检定</w:t>
      </w:r>
    </w:p>
    <w:p>
      <w:pPr>
        <w:numPr>
          <w:ilvl w:val="0"/>
          <w:numId w:val="26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白喉抗毒素制造用血浆的质量检定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主要是做抗毒素的效价测定，要求不低于1000U/ml</w:t>
      </w:r>
    </w:p>
    <w:p>
      <w:pPr>
        <w:numPr>
          <w:ilvl w:val="0"/>
          <w:numId w:val="26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白喉抗毒素半成品的质量检定 </w:t>
      </w:r>
    </w:p>
    <w:p>
      <w:pPr>
        <w:numPr>
          <w:ilvl w:val="0"/>
          <w:numId w:val="26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白喉抗毒素成品的质量检定 </w:t>
      </w:r>
    </w:p>
    <w:p>
      <w:pPr>
        <w:numPr>
          <w:ilvl w:val="0"/>
          <w:numId w:val="27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鉴别 </w:t>
      </w:r>
    </w:p>
    <w:p>
      <w:pPr>
        <w:numPr>
          <w:ilvl w:val="0"/>
          <w:numId w:val="27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numPr>
          <w:ilvl w:val="0"/>
          <w:numId w:val="27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物理化学检查 </w:t>
      </w:r>
    </w:p>
    <w:p>
      <w:pPr>
        <w:numPr>
          <w:ilvl w:val="0"/>
          <w:numId w:val="27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纯度检查 </w:t>
      </w:r>
    </w:p>
    <w:p>
      <w:pPr>
        <w:numPr>
          <w:ilvl w:val="0"/>
          <w:numId w:val="27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安全检查 </w:t>
      </w:r>
    </w:p>
    <w:p>
      <w:pPr>
        <w:numPr>
          <w:ilvl w:val="0"/>
          <w:numId w:val="27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效价测定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人血白蛋白制品的检定</w:t>
      </w:r>
    </w:p>
    <w:p>
      <w:pPr>
        <w:numPr>
          <w:ilvl w:val="0"/>
          <w:numId w:val="27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白蛋白是血浆中含量最高的蛋白质 </w:t>
      </w:r>
    </w:p>
    <w:p>
      <w:pPr>
        <w:numPr>
          <w:ilvl w:val="0"/>
          <w:numId w:val="27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主要作用有： </w:t>
      </w:r>
    </w:p>
    <w:p>
      <w:pPr>
        <w:numPr>
          <w:ilvl w:val="0"/>
          <w:numId w:val="27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维持血液渗透压 </w:t>
      </w:r>
    </w:p>
    <w:p>
      <w:pPr>
        <w:numPr>
          <w:ilvl w:val="0"/>
          <w:numId w:val="27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抗休克作用 </w:t>
      </w:r>
    </w:p>
    <w:p>
      <w:pPr>
        <w:numPr>
          <w:ilvl w:val="0"/>
          <w:numId w:val="27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运输和解毒作用 </w:t>
      </w:r>
    </w:p>
    <w:p>
      <w:pPr>
        <w:numPr>
          <w:ilvl w:val="0"/>
          <w:numId w:val="27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调节渗透压 </w:t>
      </w:r>
    </w:p>
    <w:p>
      <w:pPr>
        <w:numPr>
          <w:ilvl w:val="0"/>
          <w:numId w:val="27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营养供给 </w:t>
      </w:r>
    </w:p>
    <w:p>
      <w:pPr>
        <w:numPr>
          <w:ilvl w:val="0"/>
          <w:numId w:val="27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人血白蛋白制品的检定</w:t>
      </w:r>
    </w:p>
    <w:p>
      <w:pPr>
        <w:numPr>
          <w:ilvl w:val="0"/>
          <w:numId w:val="27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人血白蛋白半成品的质量检定 </w:t>
      </w:r>
    </w:p>
    <w:p>
      <w:pPr>
        <w:numPr>
          <w:ilvl w:val="0"/>
          <w:numId w:val="27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乙醇含量 </w:t>
      </w:r>
    </w:p>
    <w:p>
      <w:pPr>
        <w:numPr>
          <w:ilvl w:val="0"/>
          <w:numId w:val="27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热原试验 </w:t>
      </w:r>
    </w:p>
    <w:p>
      <w:pPr>
        <w:numPr>
          <w:ilvl w:val="0"/>
          <w:numId w:val="27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无菌试验 </w:t>
      </w:r>
    </w:p>
    <w:p>
      <w:pPr>
        <w:numPr>
          <w:ilvl w:val="0"/>
          <w:numId w:val="27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人血白蛋白成品的质量检定 </w:t>
      </w:r>
    </w:p>
    <w:p>
      <w:pPr>
        <w:numPr>
          <w:ilvl w:val="0"/>
          <w:numId w:val="27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鉴别 </w:t>
      </w:r>
    </w:p>
    <w:p>
      <w:pPr>
        <w:numPr>
          <w:ilvl w:val="0"/>
          <w:numId w:val="27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检查 </w:t>
      </w:r>
    </w:p>
    <w:p>
      <w:pPr>
        <w:numPr>
          <w:ilvl w:val="0"/>
          <w:numId w:val="28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物理检查 </w:t>
      </w:r>
    </w:p>
    <w:p>
      <w:pPr>
        <w:numPr>
          <w:ilvl w:val="0"/>
          <w:numId w:val="28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化学检查 </w:t>
      </w:r>
    </w:p>
    <w:p>
      <w:pPr>
        <w:numPr>
          <w:ilvl w:val="0"/>
          <w:numId w:val="28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安全检查 </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新药研究和开发的主要过程</w:t>
      </w:r>
    </w:p>
    <w:p>
      <w:pPr>
        <w:numPr>
          <w:ilvl w:val="0"/>
          <w:numId w:val="281"/>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新药研究开发的主要过程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确定研究计划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准备化合物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药理筛选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化学试验，即活性成分的分析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临床前Ⅰ期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临床前Ⅱ期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Ⅰ- Ⅲ期临床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注册申请上市 </w:t>
      </w:r>
    </w:p>
    <w:p>
      <w:pPr>
        <w:numPr>
          <w:ilvl w:val="0"/>
          <w:numId w:val="282"/>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售后监测 </w:t>
      </w:r>
    </w:p>
    <w:p>
      <w:pPr>
        <w:numPr>
          <w:ilvl w:val="0"/>
          <w:numId w:val="283"/>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新药研究和开发的主要过程</w:t>
      </w:r>
    </w:p>
    <w:p>
      <w:pPr>
        <w:numPr>
          <w:ilvl w:val="0"/>
          <w:numId w:val="284"/>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原料药的研究 </w:t>
      </w:r>
    </w:p>
    <w:p>
      <w:pPr>
        <w:numPr>
          <w:ilvl w:val="0"/>
          <w:numId w:val="28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化学结构 </w:t>
      </w:r>
    </w:p>
    <w:p>
      <w:pPr>
        <w:numPr>
          <w:ilvl w:val="0"/>
          <w:numId w:val="285"/>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理化性质 </w:t>
      </w:r>
    </w:p>
    <w:p>
      <w:pPr>
        <w:numPr>
          <w:ilvl w:val="0"/>
          <w:numId w:val="28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性状 </w:t>
      </w:r>
    </w:p>
    <w:p>
      <w:pPr>
        <w:numPr>
          <w:ilvl w:val="0"/>
          <w:numId w:val="286"/>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理化常数，如溶解性能、药物晶型、油水分配系数、解离值、立体异构等 </w:t>
      </w:r>
    </w:p>
    <w:p>
      <w:pPr>
        <w:numPr>
          <w:ilvl w:val="0"/>
          <w:numId w:val="28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新药的鉴别 </w:t>
      </w:r>
    </w:p>
    <w:p>
      <w:pPr>
        <w:numPr>
          <w:ilvl w:val="0"/>
          <w:numId w:val="28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 xml:space="preserve">新药的纯度 </w:t>
      </w:r>
    </w:p>
    <w:p>
      <w:pPr>
        <w:numPr>
          <w:ilvl w:val="0"/>
          <w:numId w:val="287"/>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新药稳定性研究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1.复述生物制品的种类。</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2.试比较几种生物疫苗的检测方法。</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3.新药研发的主要过程</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白秀峰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highlight w:val="yellow"/>
          <w14:textFill>
            <w14:solidFill>
              <w14:schemeClr w14:val="tx1"/>
            </w14:solidFill>
          </w14:textFill>
        </w:rPr>
      </w:pPr>
    </w:p>
    <w:p>
      <w:pPr>
        <w:widowControl/>
        <w:jc w:val="left"/>
        <w:rPr>
          <w:rFonts w:hint="default" w:ascii="Times New Roman" w:hAnsi="Times New Roman" w:cs="Times New Roman" w:eastAsiaTheme="minorEastAsia"/>
          <w:color w:val="000000" w:themeColor="text1"/>
          <w:szCs w:val="21"/>
          <w14:textFill>
            <w14:solidFill>
              <w14:schemeClr w14:val="tx1"/>
            </w14:solidFill>
          </w14:textFill>
        </w:rPr>
      </w:pPr>
    </w:p>
    <w:p>
      <w:pPr>
        <w:widowControl/>
        <w:jc w:val="left"/>
        <w:rPr>
          <w:rFonts w:hint="default" w:ascii="Times New Roman" w:hAnsi="Times New Roman" w:cs="Times New Roman" w:eastAsiaTheme="minorEastAsia"/>
          <w:color w:val="000000" w:themeColor="text1"/>
          <w:szCs w:val="2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p>
    <w:tbl>
      <w:tblPr>
        <w:tblStyle w:val="13"/>
        <w:tblpPr w:leftFromText="180" w:rightFromText="180" w:vertAnchor="text" w:horzAnchor="margin" w:tblpY="157"/>
        <w:tblW w:w="8529" w:type="dxa"/>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04"/>
        <w:gridCol w:w="2152"/>
        <w:gridCol w:w="1379"/>
        <w:gridCol w:w="1148"/>
        <w:gridCol w:w="1405"/>
        <w:gridCol w:w="1041"/>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cantSplit/>
          <w:trHeight w:val="302" w:hRule="atLeast"/>
        </w:trPr>
        <w:tc>
          <w:tcPr>
            <w:tcW w:w="1404"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授课题目</w:t>
            </w:r>
          </w:p>
        </w:tc>
        <w:tc>
          <w:tcPr>
            <w:tcW w:w="3531"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第</w:t>
            </w:r>
            <w:r>
              <w:rPr>
                <w:rFonts w:hint="default" w:ascii="Times New Roman" w:hAnsi="Times New Roman" w:cs="Times New Roman" w:eastAsiaTheme="minorEastAsia"/>
                <w:color w:val="000000" w:themeColor="text1"/>
                <w:lang w:val="en-US" w:eastAsia="zh-CN"/>
                <w14:textFill>
                  <w14:solidFill>
                    <w14:schemeClr w14:val="tx1"/>
                  </w14:solidFill>
                </w14:textFill>
              </w:rPr>
              <w:t>十六</w:t>
            </w:r>
            <w:r>
              <w:rPr>
                <w:rFonts w:hint="default" w:ascii="Times New Roman" w:hAnsi="Times New Roman" w:cs="Times New Roman" w:eastAsiaTheme="minorEastAsia"/>
                <w:color w:val="000000" w:themeColor="text1"/>
                <w14:textFill>
                  <w14:solidFill>
                    <w14:schemeClr w14:val="tx1"/>
                  </w14:solidFill>
                </w14:textFill>
              </w:rPr>
              <w:t>章生物药物质量标准的制定</w:t>
            </w:r>
          </w:p>
        </w:tc>
        <w:tc>
          <w:tcPr>
            <w:tcW w:w="1148"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授课日期</w:t>
            </w:r>
          </w:p>
        </w:tc>
        <w:tc>
          <w:tcPr>
            <w:tcW w:w="2446" w:type="dxa"/>
            <w:gridSpan w:val="2"/>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20</w:t>
            </w:r>
            <w:r>
              <w:rPr>
                <w:rFonts w:hint="default" w:ascii="Times New Roman" w:hAnsi="Times New Roman" w:cs="Times New Roman" w:eastAsiaTheme="minorEastAsia"/>
                <w:b/>
                <w:color w:val="000000" w:themeColor="text1"/>
                <w:lang w:val="en-US" w:eastAsia="zh-CN"/>
                <w14:textFill>
                  <w14:solidFill>
                    <w14:schemeClr w14:val="tx1"/>
                  </w14:solidFill>
                </w14:textFill>
              </w:rPr>
              <w:t>24</w:t>
            </w:r>
            <w:r>
              <w:rPr>
                <w:rFonts w:hint="default" w:ascii="Times New Roman" w:hAnsi="Times New Roman" w:cs="Times New Roman" w:eastAsiaTheme="minorEastAsia"/>
                <w:b/>
                <w:color w:val="000000" w:themeColor="text1"/>
                <w14:textFill>
                  <w14:solidFill>
                    <w14:schemeClr w14:val="tx1"/>
                  </w14:solidFill>
                </w14:textFill>
              </w:rPr>
              <w:t>年</w:t>
            </w:r>
            <w:r>
              <w:rPr>
                <w:rFonts w:hint="default" w:ascii="Times New Roman" w:hAnsi="Times New Roman" w:cs="Times New Roman" w:eastAsiaTheme="minorEastAsia"/>
                <w:b/>
                <w:color w:val="000000" w:themeColor="text1"/>
                <w:lang w:val="en-US" w:eastAsia="zh-CN"/>
                <w14:textFill>
                  <w14:solidFill>
                    <w14:schemeClr w14:val="tx1"/>
                  </w14:solidFill>
                </w14:textFill>
              </w:rPr>
              <w:t>5</w:t>
            </w:r>
            <w:r>
              <w:rPr>
                <w:rFonts w:hint="default" w:ascii="Times New Roman" w:hAnsi="Times New Roman" w:cs="Times New Roman" w:eastAsiaTheme="minorEastAsia"/>
                <w:b/>
                <w:color w:val="000000" w:themeColor="text1"/>
                <w14:textFill>
                  <w14:solidFill>
                    <w14:schemeClr w14:val="tx1"/>
                  </w14:solidFill>
                </w14:textFill>
              </w:rPr>
              <w:t>月2</w:t>
            </w:r>
            <w:r>
              <w:rPr>
                <w:rFonts w:hint="default" w:ascii="Times New Roman" w:hAnsi="Times New Roman" w:cs="Times New Roman" w:eastAsiaTheme="minorEastAsia"/>
                <w:b/>
                <w:color w:val="000000" w:themeColor="text1"/>
                <w:lang w:val="en-US" w:eastAsia="zh-CN"/>
                <w14:textFill>
                  <w14:solidFill>
                    <w14:schemeClr w14:val="tx1"/>
                  </w14:solidFill>
                </w14:textFill>
              </w:rPr>
              <w:t>4</w:t>
            </w:r>
            <w:r>
              <w:rPr>
                <w:rFonts w:hint="default" w:ascii="Times New Roman" w:hAnsi="Times New Roman" w:cs="Times New Roman" w:eastAsiaTheme="minorEastAsia"/>
                <w:b/>
                <w:color w:val="000000" w:themeColor="text1"/>
                <w14:textFill>
                  <w14:solidFill>
                    <w14:schemeClr w14:val="tx1"/>
                  </w14:solidFill>
                </w14:textFill>
              </w:rPr>
              <w:t>日</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292" w:hRule="atLeast"/>
        </w:trPr>
        <w:tc>
          <w:tcPr>
            <w:tcW w:w="1404"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授课班级</w:t>
            </w:r>
          </w:p>
        </w:tc>
        <w:tc>
          <w:tcPr>
            <w:tcW w:w="2152"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生药20213班</w:t>
            </w:r>
          </w:p>
        </w:tc>
        <w:tc>
          <w:tcPr>
            <w:tcW w:w="1379"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授课时数</w:t>
            </w:r>
          </w:p>
        </w:tc>
        <w:tc>
          <w:tcPr>
            <w:tcW w:w="1148"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w:t>
            </w:r>
          </w:p>
        </w:tc>
        <w:tc>
          <w:tcPr>
            <w:tcW w:w="1405" w:type="dxa"/>
            <w:vAlign w:val="center"/>
          </w:tcPr>
          <w:p>
            <w:pPr>
              <w:spacing w:line="400" w:lineRule="exact"/>
              <w:jc w:val="center"/>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授课方式</w:t>
            </w:r>
          </w:p>
        </w:tc>
        <w:tc>
          <w:tcPr>
            <w:tcW w:w="1041" w:type="dxa"/>
            <w:vAlign w:val="center"/>
          </w:tcPr>
          <w:p>
            <w:pPr>
              <w:spacing w:line="400" w:lineRule="exact"/>
              <w:jc w:val="center"/>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理论课</w:t>
            </w:r>
          </w:p>
        </w:tc>
      </w:tr>
    </w:tbl>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color w:val="000000" w:themeColor="text1"/>
          <w14:textFill>
            <w14:solidFill>
              <w14:schemeClr w14:val="tx1"/>
            </w14:solidFill>
          </w14:textFill>
        </w:rPr>
        <w:t>【教学目标】</w:t>
      </w:r>
      <w:r>
        <w:rPr>
          <w:rFonts w:hint="default" w:ascii="Times New Roman" w:hAnsi="Times New Roman" w:cs="Times New Roman" w:eastAsiaTheme="minorEastAsia"/>
          <w:color w:val="000000" w:themeColor="text1"/>
          <w14:textFill>
            <w14:solidFill>
              <w14:schemeClr w14:val="tx1"/>
            </w14:solidFill>
          </w14:textFill>
        </w:rPr>
        <w:br w:type="textWrapping"/>
      </w:r>
      <w:r>
        <w:rPr>
          <w:rFonts w:hint="default" w:ascii="Times New Roman" w:hAnsi="Times New Roman" w:cs="Times New Roman" w:eastAsiaTheme="minorEastAsia"/>
          <w:bCs/>
          <w:szCs w:val="21"/>
        </w:rPr>
        <w:t>制订生物药物质量标准的原则</w:t>
      </w:r>
    </w:p>
    <w:p>
      <w:pPr>
        <w:spacing w:line="360" w:lineRule="exact"/>
        <w:ind w:firstLine="630" w:firstLineChars="3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1了解新药类别和生物药物质量标准</w:t>
      </w:r>
    </w:p>
    <w:p>
      <w:pPr>
        <w:spacing w:line="360" w:lineRule="exact"/>
        <w:ind w:firstLine="630" w:firstLineChars="3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2熟悉制订生物药物质量标准的原则</w:t>
      </w:r>
    </w:p>
    <w:p>
      <w:pPr>
        <w:spacing w:line="360" w:lineRule="exact"/>
        <w:rPr>
          <w:rFonts w:hint="default" w:ascii="Times New Roman" w:hAnsi="Times New Roman" w:cs="Times New Roman" w:eastAsiaTheme="minorEastAsia"/>
          <w:bCs/>
          <w:szCs w:val="21"/>
        </w:rPr>
      </w:pPr>
      <w:r>
        <w:rPr>
          <w:rFonts w:hint="default" w:ascii="Times New Roman" w:hAnsi="Times New Roman" w:cs="Times New Roman" w:eastAsiaTheme="minorEastAsia"/>
          <w:bCs/>
          <w:szCs w:val="21"/>
        </w:rPr>
        <w:t>制订生物药物质量标准的基础工作</w:t>
      </w:r>
    </w:p>
    <w:p>
      <w:pPr>
        <w:spacing w:line="360" w:lineRule="exact"/>
        <w:ind w:firstLine="735" w:firstLineChars="35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了解制订生物药物质量标准的基础工作的内容</w:t>
      </w:r>
    </w:p>
    <w:p>
      <w:pPr>
        <w:spacing w:line="360" w:lineRule="exact"/>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生物药物质量标准的主要内容</w:t>
      </w:r>
    </w:p>
    <w:p>
      <w:pPr>
        <w:spacing w:line="360" w:lineRule="exact"/>
        <w:ind w:firstLine="420" w:firstLineChars="200"/>
        <w:rPr>
          <w:rFonts w:hint="default" w:ascii="Times New Roman" w:hAnsi="Times New Roman" w:cs="Times New Roman" w:eastAsiaTheme="minorEastAsia"/>
          <w:szCs w:val="21"/>
        </w:rPr>
      </w:pPr>
      <w:r>
        <w:rPr>
          <w:rFonts w:hint="default" w:ascii="Times New Roman" w:hAnsi="Times New Roman" w:cs="Times New Roman" w:eastAsiaTheme="minorEastAsia"/>
          <w:szCs w:val="21"/>
        </w:rPr>
        <w:t>1、掌握生物药物质量标准的主要内容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szCs w:val="21"/>
        </w:rPr>
        <w:t>2、熟悉所选择检测方法的原理和检测技术</w:t>
      </w:r>
      <w:r>
        <w:rPr>
          <w:rFonts w:hint="default" w:ascii="Times New Roman" w:hAnsi="Times New Roman" w:cs="Times New Roman" w:eastAsiaTheme="minorEastAsia"/>
          <w:color w:val="000000" w:themeColor="text1"/>
          <w14:textFill>
            <w14:solidFill>
              <w14:schemeClr w14:val="tx1"/>
            </w14:solidFill>
          </w14:textFill>
        </w:rPr>
        <w:t>【教学内容】</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1）制定生物药物质量标准的原则</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2）生物药物质量标准制定的基础工作</w:t>
      </w:r>
    </w:p>
    <w:p>
      <w:pPr>
        <w:adjustRightInd w:val="0"/>
        <w:snapToGrid w:val="0"/>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3）生物药物质量标准的主要内容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
          <w:bCs/>
          <w:color w:val="000000" w:themeColor="text1"/>
          <w14:textFill>
            <w14:solidFill>
              <w14:schemeClr w14:val="tx1"/>
            </w14:solidFill>
          </w14:textFill>
        </w:rPr>
        <w:t>教具︰教学多媒体</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kern w:val="0"/>
          <w:szCs w:val="21"/>
          <w14:textFill>
            <w14:solidFill>
              <w14:schemeClr w14:val="tx1"/>
            </w14:solidFill>
          </w14:textFill>
        </w:rPr>
        <w:t>教学方法：</w:t>
      </w:r>
      <w:r>
        <w:rPr>
          <w:rFonts w:hint="default" w:ascii="Times New Roman" w:hAnsi="Times New Roman" w:cs="Times New Roman" w:eastAsiaTheme="minorEastAsia"/>
          <w:color w:val="000000" w:themeColor="text1"/>
          <w:szCs w:val="21"/>
          <w14:textFill>
            <w14:solidFill>
              <w14:schemeClr w14:val="tx1"/>
            </w14:solidFill>
          </w14:textFill>
        </w:rPr>
        <w:t>多媒体教学结合讲授</w:t>
      </w:r>
    </w:p>
    <w:p>
      <w:pPr>
        <w:spacing w:line="400" w:lineRule="exact"/>
        <w:rPr>
          <w:rFonts w:hint="default" w:ascii="Times New Roman" w:hAnsi="Times New Roman" w:cs="Times New Roman" w:eastAsiaTheme="minorEastAsia"/>
          <w:b/>
          <w:color w:val="000000" w:themeColor="text1"/>
          <w14:textFill>
            <w14:solidFill>
              <w14:schemeClr w14:val="tx1"/>
            </w14:solidFill>
          </w14:textFill>
        </w:rPr>
      </w:pPr>
      <w:r>
        <w:rPr>
          <w:rFonts w:hint="default" w:ascii="Times New Roman" w:hAnsi="Times New Roman" w:cs="Times New Roman" w:eastAsiaTheme="minorEastAsia"/>
          <w:b/>
          <w:color w:val="000000" w:themeColor="text1"/>
          <w14:textFill>
            <w14:solidFill>
              <w14:schemeClr w14:val="tx1"/>
            </w14:solidFill>
          </w14:textFill>
        </w:rPr>
        <w:t>教学具体过程：</w:t>
      </w:r>
    </w:p>
    <w:p>
      <w:pPr>
        <w:spacing w:line="400" w:lineRule="exact"/>
        <w:ind w:firstLine="411" w:firstLineChars="196"/>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bCs/>
          <w:color w:val="000000" w:themeColor="text1"/>
          <w14:textFill>
            <w14:solidFill>
              <w14:schemeClr w14:val="tx1"/>
            </w14:solidFill>
          </w14:textFill>
        </w:rPr>
        <w:t>出示</w:t>
      </w:r>
      <w:r>
        <w:rPr>
          <w:rFonts w:hint="default" w:ascii="Times New Roman" w:hAnsi="Times New Roman" w:cs="Times New Roman" w:eastAsiaTheme="minorEastAsia"/>
          <w:color w:val="000000" w:themeColor="text1"/>
          <w14:textFill>
            <w14:solidFill>
              <w14:schemeClr w14:val="tx1"/>
            </w14:solidFill>
          </w14:textFill>
        </w:rPr>
        <w:t>相关教学幻灯片，引出本节课讲授的具体内容。与幻灯片内容相互配合进行讲解。需要理解和识记的内容播放内容较慢。</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制定生物药物质量标准的原则</w:t>
      </w:r>
    </w:p>
    <w:p>
      <w:pPr>
        <w:numPr>
          <w:ilvl w:val="0"/>
          <w:numId w:val="288"/>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新药的识别</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化学药品：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生物制品：</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2、生物药物质量标准：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3、生物药物质量标准的制定原则</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生物药物质量标准制定的基础工作</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新药的背景与名称</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新生物药物化学结构或组分的确证</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试制工艺与处方依据</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新药理化常数、纯度检查等质量研究工作</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稳定性试验</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含量测定方法研究</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新药药理、毒理作用研究</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新药代动力学的研究</w:t>
      </w:r>
    </w:p>
    <w:p>
      <w:pPr>
        <w:numPr>
          <w:ilvl w:val="0"/>
          <w:numId w:val="289"/>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新药型的研究</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生物药物质量标准的主要内容：</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药物名称</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药物性状</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稳定性</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物理常数</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鉴别</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杂质检查</w:t>
      </w:r>
    </w:p>
    <w:p>
      <w:pPr>
        <w:numPr>
          <w:ilvl w:val="0"/>
          <w:numId w:val="290"/>
        </w:num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含量测定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作业：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1.复习本章内容。</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参考书：</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bCs/>
          <w:color w:val="000000" w:themeColor="text1"/>
          <w:szCs w:val="21"/>
          <w14:textFill>
            <w14:solidFill>
              <w14:schemeClr w14:val="tx1"/>
            </w14:solidFill>
          </w14:textFill>
        </w:rPr>
        <w:t xml:space="preserve">1.《生物药物分析》  白秀峰          中国医药科技出版社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 xml:space="preserve">2.《生物药物分析》   何华            化学工业出版社 </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3.《药物分析》       孙莹 吕洁      人民卫生出版社</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widowControl/>
        <w:jc w:val="lef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br w:type="page"/>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课程考核方式及评分规程</w:t>
      </w:r>
    </w:p>
    <w:p>
      <w:pPr>
        <w:spacing w:line="400" w:lineRule="exact"/>
        <w:ind w:firstLine="420" w:firstLineChars="200"/>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本门功课采取平时成绩+考试卷面成绩综合评分的形式，课程实行闭卷考试的形式，依据四川理工学院相关规定进行，具体成绩计算方式如下：</w:t>
      </w:r>
    </w:p>
    <w:p>
      <w:pPr>
        <w:spacing w:line="400" w:lineRule="exact"/>
        <w:rPr>
          <w:rFonts w:hint="default" w:ascii="Times New Roman" w:hAnsi="Times New Roman" w:cs="Times New Roman" w:eastAsiaTheme="minorEastAsia"/>
          <w:color w:val="000000" w:themeColor="text1"/>
          <w:szCs w:val="21"/>
          <w14:textFill>
            <w14:solidFill>
              <w14:schemeClr w14:val="tx1"/>
            </w14:solidFill>
          </w14:textFill>
        </w:rPr>
      </w:pPr>
      <w:r>
        <w:rPr>
          <w:rFonts w:hint="default" w:ascii="Times New Roman" w:hAnsi="Times New Roman" w:cs="Times New Roman" w:eastAsiaTheme="minorEastAsia"/>
          <w:color w:val="000000" w:themeColor="text1"/>
          <w:szCs w:val="21"/>
          <w14:textFill>
            <w14:solidFill>
              <w14:schemeClr w14:val="tx1"/>
            </w14:solidFill>
          </w14:textFill>
        </w:rPr>
        <w:t>1平时成绩（30%）：主要考核内容为出勤（迟到，早退，缺席等）、平时作业、课堂讨论及回答问题表现等。以百分进行统计最后取20%计入总成绩。其中出勤为课前10分钟学生在签到簿签名：迟到、缺席、早退每次按1分计算，累计3次平时成绩归零（经过教师同意的请假除外）。本部分累计总成绩不少于10分；平时作业每次10分，未交、不完全、迟交按0分、3-5分及5分计算，累计作业次数不少于5次；课堂讨论在时间允许的情况下每次课进行一次，课堂提问每个章节结束进行一次，每次不少于5名学生。本部分累计成绩不少于20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2卷面成绩（70%）：以试卷分数的70%记入总成绩，按照期中30%、期末50%进行计算（补考成绩另算）。</w:t>
      </w:r>
    </w:p>
    <w:p>
      <w:pPr>
        <w:spacing w:line="400" w:lineRule="exact"/>
        <w:rPr>
          <w:rFonts w:hint="default" w:ascii="Times New Roman" w:hAnsi="Times New Roman" w:cs="Times New Roman" w:eastAsiaTheme="minorEastAsia"/>
          <w:b/>
          <w:color w:val="000000" w:themeColor="text1"/>
          <w:sz w:val="24"/>
          <w14:textFill>
            <w14:solidFill>
              <w14:schemeClr w14:val="tx1"/>
            </w14:solidFill>
          </w14:textFill>
        </w:rPr>
      </w:pPr>
      <w:r>
        <w:rPr>
          <w:rFonts w:hint="default" w:ascii="Times New Roman" w:hAnsi="Times New Roman" w:cs="Times New Roman" w:eastAsiaTheme="minorEastAsia"/>
          <w:b/>
          <w:color w:val="000000" w:themeColor="text1"/>
          <w:sz w:val="24"/>
          <w14:textFill>
            <w14:solidFill>
              <w14:schemeClr w14:val="tx1"/>
            </w14:solidFill>
          </w14:textFill>
        </w:rPr>
        <w:t>诚信规定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作业：独立完成，可以同学之间进行讨论，严禁作业抄袭；</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论文：学科小论文鼓励学生进行创作，严禁抄袭和剽窃；</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考勤：本人签名，杜绝代签；</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考试：规定时间、地点独立完成，考试违规与作弊依据学校相关规定进行处理</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课堂规范</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一、教师课堂教学规范</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kern w:val="0"/>
          <w:szCs w:val="21"/>
          <w14:textFill>
            <w14:solidFill>
              <w14:schemeClr w14:val="tx1"/>
            </w14:solidFill>
          </w14:textFill>
        </w:rPr>
        <w:t>1</w:t>
      </w:r>
      <w:r>
        <w:rPr>
          <w:rFonts w:hint="default" w:ascii="Times New Roman" w:hAnsi="Times New Roman" w:cs="Times New Roman" w:eastAsiaTheme="minorEastAsia"/>
          <w:color w:val="000000" w:themeColor="text1"/>
          <w14:textFill>
            <w14:solidFill>
              <w14:schemeClr w14:val="tx1"/>
            </w14:solidFill>
          </w14:textFill>
        </w:rPr>
        <w:t>．教师进入教学楼和教室须着装得体，不得穿拖鞋、背心、吊带裙、超短裙或其他不庄重的服饰进入课堂；</w:t>
      </w:r>
    </w:p>
    <w:p>
      <w:pPr>
        <w:spacing w:line="400" w:lineRule="exact"/>
        <w:outlineLvl w:val="0"/>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2．教师须提前到教室做好上课的准备工作。不得迟到、拖堂或提前下课；</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3．教师上课期间必须关闭手机等通讯工具，严禁上课时接听电话、会客或随意离开教室；4．教师须科学安排全期的教学工作。每堂课教师均须备有教案、教学日历等材料；必修课     程必须使用指定主要教材；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5．课堂教学须目标明确，逻辑严密，论证严谨，基本概念和知识点准确，重点突出，能有效突破难点；讲授内容要合理把握深度和广度。不得发表与教学内容无关和错误的言论；6．贯彻因材施教的原则，灵活运用各种有效的教学方法。尊重学生的提问和发言，课堂讨论要有引导和控制，不得浪费学生的学习时间；</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7．教师必须站立讲课（身体原因除外），教态自然大方；须用普通话教学，教学语言清楚流畅，生动文明。板书有条理，字迹清楚；</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8．教师要有课堂管理意识。对违反课堂纪律的学生要及时处理。学生如有违反课堂纪律的行为，经批评教育不改者，教师有权责令其退出教室，情节严重者，报学生所在学院给予纪律处分；</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9．任课教师要负责对学生进行考勤，考勤结果及时报学生所在学院办公室，以便学院按照学校的学生管理规定和学业管理规定进行处理；</w:t>
      </w:r>
    </w:p>
    <w:p>
      <w:pPr>
        <w:spacing w:line="400" w:lineRule="exact"/>
        <w:rPr>
          <w:rFonts w:hint="default" w:ascii="Times New Roman" w:hAnsi="Times New Roman" w:cs="Times New Roman" w:eastAsiaTheme="minorEastAsia"/>
          <w:bCs/>
          <w:color w:val="000000" w:themeColor="text1"/>
          <w:kern w:val="0"/>
          <w:szCs w:val="2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10．对持有教务处发放的听课证的非本教学班学生或其他听课人员，教师应允许其听课；</w:t>
      </w:r>
      <w:r>
        <w:rPr>
          <w:rFonts w:hint="default" w:ascii="Times New Roman" w:hAnsi="Times New Roman" w:cs="Times New Roman" w:eastAsiaTheme="minorEastAsia"/>
          <w:color w:val="000000" w:themeColor="text1"/>
          <w:sz w:val="24"/>
          <w14:textFill>
            <w14:solidFill>
              <w14:schemeClr w14:val="tx1"/>
            </w14:solidFill>
          </w14:textFill>
        </w:rPr>
        <w:t>二、学生课堂规范</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1．学生进入教学楼和教室须着装整洁、得体，不准穿拖鞋、超短裙或其他不庄重的服饰进入教室；</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2．学生每堂课需提前5分钟到达上课地点做好上课准备。不得迟到、早退、旷课，请假必须向教师出示请假条；</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学生上课必须关闭手机等通讯工具。上课期间不得接听电话、会客，不得随意离开教室；4．学生上课要认真听课，不交头接耳，不吃东西，不做与课堂教学无关的事情；要积极参与课堂讨论，积极提问或发言，配合教师搞好教学，认真完成教师布置的教学任务；</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5．旁听生、进修人员应携带教务处发给的听课证进入指定教室听课，并遵守课堂纪律；</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三、学校各级领导干部、教学督导委员、教学管理干部听课应提前5分钟进入教室并向授课教师出示听课证，听课期间必须关闭手机等通讯工具，不得接听电话、会客，不得随意离开教室，不得影响教师正常的教学活动；</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四、凡有违反以上课堂教学规范者，将根据有关文件规定进行处理；</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五、本规范在本教学大纲实施过程中执行。</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六．课程资源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1教材与参考书：本课程采用白秀峰编写的《生物药物分析》为主要参考书，同时参考何华编写的《生物药物分析》和孙莹、吕洁编写的《药物分析》。</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2教师：实施大纲的编写教师为主讲教师；</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3大纲实施教室：以四川理工学院汇南多媒体教室为大纲实施主要场所；</w:t>
      </w:r>
    </w:p>
    <w:p>
      <w:pPr>
        <w:spacing w:line="400" w:lineRule="exact"/>
        <w:ind w:left="-6" w:leftChars="-3"/>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4校内活动：四川理工学院每年都组织学生参加大学生创新创业挑战杯，同时学校设有制药专业相关协会，定期举办相关专题活动；</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5网络课程资源：以四川理工学院校园网为基本设施，学生和教师可以自由选择校园网可以登录的任何共享网络资源，学生根据自己实际情况自由选择参阅；</w:t>
      </w:r>
    </w:p>
    <w:p>
      <w:pPr>
        <w:spacing w:line="400" w:lineRule="exact"/>
        <w:ind w:left="-6" w:leftChars="-3"/>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6自贡市图书馆、科技馆、盐业博物馆、恐龙博物馆均是教师和学生可以方便利用的课程资源。</w:t>
      </w:r>
    </w:p>
    <w:p>
      <w:pPr>
        <w:spacing w:line="400" w:lineRule="exact"/>
        <w:rPr>
          <w:rFonts w:hint="default" w:ascii="Times New Roman" w:hAnsi="Times New Roman" w:cs="Times New Roman" w:eastAsiaTheme="minorEastAsia"/>
          <w:color w:val="000000" w:themeColor="text1"/>
          <w:sz w:val="24"/>
          <w14:textFill>
            <w14:solidFill>
              <w14:schemeClr w14:val="tx1"/>
            </w14:solidFill>
          </w14:textFill>
        </w:rPr>
      </w:pPr>
      <w:r>
        <w:rPr>
          <w:rFonts w:hint="default" w:ascii="Times New Roman" w:hAnsi="Times New Roman" w:cs="Times New Roman" w:eastAsiaTheme="minorEastAsia"/>
          <w:color w:val="000000" w:themeColor="text1"/>
          <w:sz w:val="24"/>
          <w14:textFill>
            <w14:solidFill>
              <w14:schemeClr w14:val="tx1"/>
            </w14:solidFill>
          </w14:textFill>
        </w:rPr>
        <w:t>七．学术合作备忘录（契约）</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1阅读课程实施大纲，理解其内容；</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r>
        <w:rPr>
          <w:rFonts w:hint="default" w:ascii="Times New Roman" w:hAnsi="Times New Roman" w:cs="Times New Roman" w:eastAsiaTheme="minorEastAsia"/>
          <w:color w:val="000000" w:themeColor="text1"/>
          <w14:textFill>
            <w14:solidFill>
              <w14:schemeClr w14:val="tx1"/>
            </w14:solidFill>
          </w14:textFill>
        </w:rPr>
        <w:t>2同意遵守课程实施大纲中阐述的标准和期望。</w:t>
      </w: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p>
      <w:pPr>
        <w:tabs>
          <w:tab w:val="left" w:pos="3405"/>
        </w:tabs>
        <w:spacing w:line="400" w:lineRule="exact"/>
        <w:rPr>
          <w:rFonts w:hint="default" w:ascii="Times New Roman" w:hAnsi="Times New Roman" w:cs="Times New Roman" w:eastAsiaTheme="minorEastAsia"/>
          <w:b/>
          <w:bCs/>
          <w:color w:val="000000" w:themeColor="text1"/>
          <w14:textFill>
            <w14:solidFill>
              <w14:schemeClr w14:val="tx1"/>
            </w14:solidFill>
          </w14:textFill>
        </w:rPr>
      </w:pPr>
    </w:p>
    <w:p>
      <w:pPr>
        <w:spacing w:line="400" w:lineRule="exact"/>
        <w:rPr>
          <w:rFonts w:hint="default" w:ascii="Times New Roman" w:hAnsi="Times New Roman" w:cs="Times New Roman" w:eastAsiaTheme="minorEastAsia"/>
          <w:color w:val="000000" w:themeColor="text1"/>
          <w14:textFill>
            <w14:solidFill>
              <w14:schemeClr w14:val="tx1"/>
            </w14:solidFill>
          </w14:textFill>
        </w:rPr>
      </w:pPr>
    </w:p>
    <w:sectPr>
      <w:footerReference r:id="rId3" w:type="default"/>
      <w:footerReference r:id="rId4" w:type="even"/>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Cambria">
    <w:panose1 w:val="02040503050406030204"/>
    <w:charset w:val="00"/>
    <w:family w:val="roman"/>
    <w:pitch w:val="default"/>
    <w:sig w:usb0="E00006FF" w:usb1="420024FF" w:usb2="02000000" w:usb3="00000000" w:csb0="2000019F" w:csb1="00000000"/>
  </w:font>
  <w:font w:name="Heiti SC Light">
    <w:altName w:val="Malgun Gothic Semilight"/>
    <w:panose1 w:val="02000000000000000000"/>
    <w:charset w:val="80"/>
    <w:family w:val="auto"/>
    <w:pitch w:val="default"/>
    <w:sig w:usb0="00000000" w:usb1="00000000" w:usb2="00000010" w:usb3="00000000" w:csb0="003E0001" w:csb1="00000000"/>
  </w:font>
  <w:font w:name="Arial Unicode MS">
    <w:altName w:val="Arial"/>
    <w:panose1 w:val="020B0604020202020204"/>
    <w:charset w:val="80"/>
    <w:family w:val="swiss"/>
    <w:pitch w:val="default"/>
    <w:sig w:usb0="00000000" w:usb1="00000000" w:usb2="0000003F" w:usb3="00000000" w:csb0="003F01FF" w:csb1="00000000"/>
  </w:font>
  <w:font w:name="楷体_GB2312">
    <w:altName w:val="楷体"/>
    <w:panose1 w:val="020B0604020202020204"/>
    <w:charset w:val="86"/>
    <w:family w:val="modern"/>
    <w:pitch w:val="default"/>
    <w:sig w:usb0="00000000" w:usb1="00000000" w:usb2="00000010" w:usb3="00000000" w:csb0="00040000" w:csb1="00000000"/>
  </w:font>
  <w:font w:name="楷体">
    <w:panose1 w:val="02010609060101010101"/>
    <w:charset w:val="86"/>
    <w:family w:val="auto"/>
    <w:pitch w:val="default"/>
    <w:sig w:usb0="800002BF" w:usb1="38CF7CFA" w:usb2="00000016" w:usb3="00000000" w:csb0="00040001" w:csb1="00000000"/>
  </w:font>
  <w:font w:name="Malgun Gothic Semilight">
    <w:panose1 w:val="020B0502040204020203"/>
    <w:charset w:val="86"/>
    <w:family w:val="auto"/>
    <w:pitch w:val="default"/>
    <w:sig w:usb0="900002AF" w:usb1="01D77CFB" w:usb2="00000012" w:usb3="00000000" w:csb0="203E01BD" w:csb1="D7FF0000"/>
  </w:font>
  <w:font w:name="Arial">
    <w:panose1 w:val="020B0604020202020204"/>
    <w:charset w:val="00"/>
    <w:family w:val="auto"/>
    <w:pitch w:val="default"/>
    <w:sig w:usb0="E0002EFF" w:usb1="C000785B" w:usb2="00000009" w:usb3="00000000" w:csb0="400001FF" w:csb1="FFFF0000"/>
  </w:font>
  <w:font w:name="微软雅黑">
    <w:panose1 w:val="020B0503020204020204"/>
    <w:charset w:val="86"/>
    <w:family w:val="auto"/>
    <w:pitch w:val="default"/>
    <w:sig w:usb0="80000287" w:usb1="2ACF3C50" w:usb2="00000016" w:usb3="00000000" w:csb0="0004001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framePr w:wrap="around" w:vAnchor="text" w:hAnchor="margin" w:xAlign="right" w:y="1"/>
      <w:rPr>
        <w:rStyle w:val="16"/>
      </w:rPr>
    </w:pPr>
    <w:r>
      <w:rPr>
        <w:rStyle w:val="16"/>
      </w:rPr>
      <w:fldChar w:fldCharType="begin"/>
    </w:r>
    <w:r>
      <w:rPr>
        <w:rStyle w:val="16"/>
      </w:rPr>
      <w:instrText xml:space="preserve">PAGE  </w:instrText>
    </w:r>
    <w:r>
      <w:rPr>
        <w:rStyle w:val="16"/>
      </w:rPr>
      <w:fldChar w:fldCharType="separate"/>
    </w:r>
    <w:r>
      <w:rPr>
        <w:rStyle w:val="16"/>
      </w:rPr>
      <w:t>60</w:t>
    </w:r>
    <w:r>
      <w:rPr>
        <w:rStyle w:val="16"/>
      </w:rPr>
      <w:fldChar w:fldCharType="end"/>
    </w:r>
  </w:p>
  <w:p>
    <w:pPr>
      <w:pStyle w:val="10"/>
      <w:ind w:right="360"/>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10"/>
      <w:framePr w:wrap="around" w:vAnchor="text" w:hAnchor="margin" w:xAlign="right" w:y="1"/>
      <w:rPr>
        <w:rStyle w:val="16"/>
      </w:rPr>
    </w:pPr>
    <w:r>
      <w:rPr>
        <w:rStyle w:val="16"/>
      </w:rPr>
      <w:fldChar w:fldCharType="begin"/>
    </w:r>
    <w:r>
      <w:rPr>
        <w:rStyle w:val="16"/>
      </w:rPr>
      <w:instrText xml:space="preserve">PAGE  </w:instrText>
    </w:r>
    <w:r>
      <w:rPr>
        <w:rStyle w:val="16"/>
      </w:rPr>
      <w:fldChar w:fldCharType="end"/>
    </w:r>
  </w:p>
  <w:p>
    <w:pPr>
      <w:pStyle w:val="10"/>
      <w:ind w:right="360"/>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C5F10CAD"/>
    <w:multiLevelType w:val="singleLevel"/>
    <w:tmpl w:val="C5F10CAD"/>
    <w:lvl w:ilvl="0" w:tentative="0">
      <w:start w:val="1"/>
      <w:numFmt w:val="decimal"/>
      <w:lvlText w:val="(%1)"/>
      <w:lvlJc w:val="left"/>
      <w:pPr>
        <w:tabs>
          <w:tab w:val="left" w:pos="312"/>
        </w:tabs>
      </w:pPr>
    </w:lvl>
  </w:abstractNum>
  <w:abstractNum w:abstractNumId="1">
    <w:nsid w:val="CEB4023A"/>
    <w:multiLevelType w:val="singleLevel"/>
    <w:tmpl w:val="CEB4023A"/>
    <w:lvl w:ilvl="0" w:tentative="0">
      <w:start w:val="9"/>
      <w:numFmt w:val="chineseCounting"/>
      <w:suff w:val="nothing"/>
      <w:lvlText w:val="%1、"/>
      <w:lvlJc w:val="left"/>
      <w:rPr>
        <w:rFonts w:hint="eastAsia"/>
      </w:rPr>
    </w:lvl>
  </w:abstractNum>
  <w:abstractNum w:abstractNumId="2">
    <w:nsid w:val="E5C8C759"/>
    <w:multiLevelType w:val="singleLevel"/>
    <w:tmpl w:val="E5C8C759"/>
    <w:lvl w:ilvl="0" w:tentative="0">
      <w:start w:val="1"/>
      <w:numFmt w:val="decimal"/>
      <w:lvlText w:val="%1."/>
      <w:lvlJc w:val="left"/>
      <w:pPr>
        <w:tabs>
          <w:tab w:val="left" w:pos="312"/>
        </w:tabs>
      </w:pPr>
    </w:lvl>
  </w:abstractNum>
  <w:abstractNum w:abstractNumId="3">
    <w:nsid w:val="004343B5"/>
    <w:multiLevelType w:val="multilevel"/>
    <w:tmpl w:val="004343B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
    <w:nsid w:val="01E56A04"/>
    <w:multiLevelType w:val="multilevel"/>
    <w:tmpl w:val="01E56A04"/>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
    <w:nsid w:val="0289705A"/>
    <w:multiLevelType w:val="multilevel"/>
    <w:tmpl w:val="0289705A"/>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
    <w:nsid w:val="02954D2C"/>
    <w:multiLevelType w:val="multilevel"/>
    <w:tmpl w:val="02954D2C"/>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7">
    <w:nsid w:val="03190C82"/>
    <w:multiLevelType w:val="multilevel"/>
    <w:tmpl w:val="03190C82"/>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
    <w:nsid w:val="034F2C42"/>
    <w:multiLevelType w:val="multilevel"/>
    <w:tmpl w:val="034F2C4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
    <w:nsid w:val="042A65D1"/>
    <w:multiLevelType w:val="multilevel"/>
    <w:tmpl w:val="042A65D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
    <w:nsid w:val="04CE0839"/>
    <w:multiLevelType w:val="multilevel"/>
    <w:tmpl w:val="04CE083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
    <w:nsid w:val="05344A70"/>
    <w:multiLevelType w:val="multilevel"/>
    <w:tmpl w:val="05344A7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
    <w:nsid w:val="05582181"/>
    <w:multiLevelType w:val="multilevel"/>
    <w:tmpl w:val="0558218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
    <w:nsid w:val="066C0CD6"/>
    <w:multiLevelType w:val="multilevel"/>
    <w:tmpl w:val="066C0CD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4">
    <w:nsid w:val="068D0A18"/>
    <w:multiLevelType w:val="multilevel"/>
    <w:tmpl w:val="068D0A1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
    <w:nsid w:val="06A6482F"/>
    <w:multiLevelType w:val="multilevel"/>
    <w:tmpl w:val="06A6482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
    <w:nsid w:val="07A91A83"/>
    <w:multiLevelType w:val="multilevel"/>
    <w:tmpl w:val="07A91A8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
    <w:nsid w:val="09053F94"/>
    <w:multiLevelType w:val="multilevel"/>
    <w:tmpl w:val="09053F94"/>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8">
    <w:nsid w:val="092A5454"/>
    <w:multiLevelType w:val="multilevel"/>
    <w:tmpl w:val="092A545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
    <w:nsid w:val="0A3661F8"/>
    <w:multiLevelType w:val="multilevel"/>
    <w:tmpl w:val="0A3661F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0A4403CB"/>
    <w:multiLevelType w:val="multilevel"/>
    <w:tmpl w:val="0A4403CB"/>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1">
    <w:nsid w:val="0B630775"/>
    <w:multiLevelType w:val="multilevel"/>
    <w:tmpl w:val="0B63077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
    <w:nsid w:val="0B752892"/>
    <w:multiLevelType w:val="multilevel"/>
    <w:tmpl w:val="0B75289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
    <w:nsid w:val="0BFC6638"/>
    <w:multiLevelType w:val="multilevel"/>
    <w:tmpl w:val="0BFC663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
    <w:nsid w:val="0C195381"/>
    <w:multiLevelType w:val="multilevel"/>
    <w:tmpl w:val="0C195381"/>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5">
    <w:nsid w:val="0CA00008"/>
    <w:multiLevelType w:val="multilevel"/>
    <w:tmpl w:val="0CA0000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
    <w:nsid w:val="0D7323F7"/>
    <w:multiLevelType w:val="multilevel"/>
    <w:tmpl w:val="0D7323F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
    <w:nsid w:val="0D95414C"/>
    <w:multiLevelType w:val="multilevel"/>
    <w:tmpl w:val="0D95414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
    <w:nsid w:val="0E480C49"/>
    <w:multiLevelType w:val="multilevel"/>
    <w:tmpl w:val="0E480C4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9">
    <w:nsid w:val="0ECA2093"/>
    <w:multiLevelType w:val="multilevel"/>
    <w:tmpl w:val="0ECA209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0">
    <w:nsid w:val="0F170E23"/>
    <w:multiLevelType w:val="multilevel"/>
    <w:tmpl w:val="0F170E2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1">
    <w:nsid w:val="0F850C23"/>
    <w:multiLevelType w:val="multilevel"/>
    <w:tmpl w:val="0F850C2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2">
    <w:nsid w:val="0F945222"/>
    <w:multiLevelType w:val="multilevel"/>
    <w:tmpl w:val="0F945222"/>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33">
    <w:nsid w:val="0FA265DE"/>
    <w:multiLevelType w:val="multilevel"/>
    <w:tmpl w:val="0FA265D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4">
    <w:nsid w:val="0FEA3D0B"/>
    <w:multiLevelType w:val="multilevel"/>
    <w:tmpl w:val="0FEA3D0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5">
    <w:nsid w:val="10524EDB"/>
    <w:multiLevelType w:val="multilevel"/>
    <w:tmpl w:val="10524ED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6">
    <w:nsid w:val="106704E1"/>
    <w:multiLevelType w:val="multilevel"/>
    <w:tmpl w:val="106704E1"/>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37">
    <w:nsid w:val="107A420D"/>
    <w:multiLevelType w:val="multilevel"/>
    <w:tmpl w:val="107A420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8">
    <w:nsid w:val="10BA576D"/>
    <w:multiLevelType w:val="multilevel"/>
    <w:tmpl w:val="10BA576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39">
    <w:nsid w:val="11DC673D"/>
    <w:multiLevelType w:val="multilevel"/>
    <w:tmpl w:val="11DC673D"/>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40">
    <w:nsid w:val="12324A14"/>
    <w:multiLevelType w:val="multilevel"/>
    <w:tmpl w:val="12324A1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1">
    <w:nsid w:val="125A13A2"/>
    <w:multiLevelType w:val="singleLevel"/>
    <w:tmpl w:val="125A13A2"/>
    <w:lvl w:ilvl="0" w:tentative="0">
      <w:start w:val="1"/>
      <w:numFmt w:val="decimal"/>
      <w:suff w:val="nothing"/>
      <w:lvlText w:val="%1）"/>
      <w:lvlJc w:val="left"/>
    </w:lvl>
  </w:abstractNum>
  <w:abstractNum w:abstractNumId="42">
    <w:nsid w:val="13317F86"/>
    <w:multiLevelType w:val="multilevel"/>
    <w:tmpl w:val="13317F8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3">
    <w:nsid w:val="139311A8"/>
    <w:multiLevelType w:val="multilevel"/>
    <w:tmpl w:val="139311A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4">
    <w:nsid w:val="13CB0674"/>
    <w:multiLevelType w:val="multilevel"/>
    <w:tmpl w:val="13CB067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5">
    <w:nsid w:val="13DF7AB9"/>
    <w:multiLevelType w:val="multilevel"/>
    <w:tmpl w:val="13DF7AB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6">
    <w:nsid w:val="14CF0E51"/>
    <w:multiLevelType w:val="multilevel"/>
    <w:tmpl w:val="14CF0E5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7">
    <w:nsid w:val="14FB1E76"/>
    <w:multiLevelType w:val="multilevel"/>
    <w:tmpl w:val="14FB1E7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8">
    <w:nsid w:val="1554761B"/>
    <w:multiLevelType w:val="multilevel"/>
    <w:tmpl w:val="1554761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49">
    <w:nsid w:val="15906C91"/>
    <w:multiLevelType w:val="multilevel"/>
    <w:tmpl w:val="15906C9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0">
    <w:nsid w:val="15DF3DCD"/>
    <w:multiLevelType w:val="multilevel"/>
    <w:tmpl w:val="15DF3DC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1">
    <w:nsid w:val="1685323D"/>
    <w:multiLevelType w:val="multilevel"/>
    <w:tmpl w:val="1685323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2">
    <w:nsid w:val="1724664F"/>
    <w:multiLevelType w:val="multilevel"/>
    <w:tmpl w:val="1724664F"/>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3">
    <w:nsid w:val="173C0697"/>
    <w:multiLevelType w:val="multilevel"/>
    <w:tmpl w:val="173C0697"/>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4">
    <w:nsid w:val="17622FD9"/>
    <w:multiLevelType w:val="multilevel"/>
    <w:tmpl w:val="17622FD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5">
    <w:nsid w:val="17EC7F5B"/>
    <w:multiLevelType w:val="multilevel"/>
    <w:tmpl w:val="17EC7F5B"/>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6">
    <w:nsid w:val="18053676"/>
    <w:multiLevelType w:val="multilevel"/>
    <w:tmpl w:val="1805367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57">
    <w:nsid w:val="1885680A"/>
    <w:multiLevelType w:val="multilevel"/>
    <w:tmpl w:val="1885680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8">
    <w:nsid w:val="18D30D28"/>
    <w:multiLevelType w:val="multilevel"/>
    <w:tmpl w:val="18D30D2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59">
    <w:nsid w:val="18FB0260"/>
    <w:multiLevelType w:val="multilevel"/>
    <w:tmpl w:val="18FB026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0">
    <w:nsid w:val="19AD3614"/>
    <w:multiLevelType w:val="multilevel"/>
    <w:tmpl w:val="19AD361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1">
    <w:nsid w:val="1A0A2837"/>
    <w:multiLevelType w:val="multilevel"/>
    <w:tmpl w:val="1A0A283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2">
    <w:nsid w:val="1A3819D3"/>
    <w:multiLevelType w:val="multilevel"/>
    <w:tmpl w:val="1A3819D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3">
    <w:nsid w:val="1A87731D"/>
    <w:multiLevelType w:val="multilevel"/>
    <w:tmpl w:val="1A87731D"/>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4">
    <w:nsid w:val="1B0549C5"/>
    <w:multiLevelType w:val="multilevel"/>
    <w:tmpl w:val="1B0549C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5">
    <w:nsid w:val="1BB51B95"/>
    <w:multiLevelType w:val="multilevel"/>
    <w:tmpl w:val="1BB51B95"/>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66">
    <w:nsid w:val="1BF83A82"/>
    <w:multiLevelType w:val="multilevel"/>
    <w:tmpl w:val="1BF83A82"/>
    <w:lvl w:ilvl="0" w:tentative="0">
      <w:start w:val="1"/>
      <w:numFmt w:val="decimal"/>
      <w:lvlText w:val="%1、"/>
      <w:lvlJc w:val="left"/>
      <w:pPr>
        <w:tabs>
          <w:tab w:val="left" w:pos="360"/>
        </w:tabs>
        <w:ind w:left="360" w:hanging="360"/>
      </w:pPr>
      <w:rPr>
        <w:rFonts w:hint="eastAsia"/>
      </w:rPr>
    </w:lvl>
    <w:lvl w:ilvl="1" w:tentative="0">
      <w:start w:val="1"/>
      <w:numFmt w:val="decimal"/>
      <w:lvlText w:val="%2、"/>
      <w:lvlJc w:val="left"/>
      <w:pPr>
        <w:tabs>
          <w:tab w:val="left" w:pos="780"/>
        </w:tabs>
        <w:ind w:left="780" w:hanging="360"/>
      </w:pPr>
      <w:rPr>
        <w:rFonts w:hint="eastAsia"/>
      </w:rPr>
    </w:lvl>
    <w:lvl w:ilvl="2" w:tentative="0">
      <w:start w:val="4"/>
      <w:numFmt w:val="japaneseCounting"/>
      <w:lvlText w:val="第%3章"/>
      <w:lvlJc w:val="left"/>
      <w:pPr>
        <w:tabs>
          <w:tab w:val="left" w:pos="1560"/>
        </w:tabs>
        <w:ind w:left="1560" w:hanging="720"/>
      </w:pPr>
      <w:rPr>
        <w:rFonts w:hint="eastAsia"/>
      </w:rPr>
    </w:lvl>
    <w:lvl w:ilvl="3" w:tentative="0">
      <w:start w:val="1"/>
      <w:numFmt w:val="japaneseCounting"/>
      <w:lvlText w:val="第%4节"/>
      <w:lvlJc w:val="left"/>
      <w:pPr>
        <w:tabs>
          <w:tab w:val="left" w:pos="1980"/>
        </w:tabs>
        <w:ind w:left="1980" w:hanging="72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67">
    <w:nsid w:val="1CCF7A38"/>
    <w:multiLevelType w:val="multilevel"/>
    <w:tmpl w:val="1CCF7A3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8">
    <w:nsid w:val="1D8F2483"/>
    <w:multiLevelType w:val="multilevel"/>
    <w:tmpl w:val="1D8F248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69">
    <w:nsid w:val="1E4E5B13"/>
    <w:multiLevelType w:val="multilevel"/>
    <w:tmpl w:val="1E4E5B1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0">
    <w:nsid w:val="1E9E3AB1"/>
    <w:multiLevelType w:val="multilevel"/>
    <w:tmpl w:val="1E9E3AB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1">
    <w:nsid w:val="1F565F22"/>
    <w:multiLevelType w:val="multilevel"/>
    <w:tmpl w:val="1F565F2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2">
    <w:nsid w:val="1F890CCA"/>
    <w:multiLevelType w:val="multilevel"/>
    <w:tmpl w:val="1F890CC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3">
    <w:nsid w:val="20050B96"/>
    <w:multiLevelType w:val="multilevel"/>
    <w:tmpl w:val="20050B9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74">
    <w:nsid w:val="204B2502"/>
    <w:multiLevelType w:val="multilevel"/>
    <w:tmpl w:val="204B250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5">
    <w:nsid w:val="208537C3"/>
    <w:multiLevelType w:val="multilevel"/>
    <w:tmpl w:val="208537C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76">
    <w:nsid w:val="20B60C04"/>
    <w:multiLevelType w:val="multilevel"/>
    <w:tmpl w:val="20B60C0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7">
    <w:nsid w:val="20CB336D"/>
    <w:multiLevelType w:val="multilevel"/>
    <w:tmpl w:val="20CB336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8">
    <w:nsid w:val="20FE74D2"/>
    <w:multiLevelType w:val="multilevel"/>
    <w:tmpl w:val="20FE74D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79">
    <w:nsid w:val="21142274"/>
    <w:multiLevelType w:val="multilevel"/>
    <w:tmpl w:val="2114227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0">
    <w:nsid w:val="21C24AEC"/>
    <w:multiLevelType w:val="multilevel"/>
    <w:tmpl w:val="21C24AE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1">
    <w:nsid w:val="21FE536E"/>
    <w:multiLevelType w:val="multilevel"/>
    <w:tmpl w:val="21FE536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2">
    <w:nsid w:val="221E07E0"/>
    <w:multiLevelType w:val="multilevel"/>
    <w:tmpl w:val="221E07E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3">
    <w:nsid w:val="224C66C2"/>
    <w:multiLevelType w:val="multilevel"/>
    <w:tmpl w:val="224C66C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4">
    <w:nsid w:val="23C15797"/>
    <w:multiLevelType w:val="multilevel"/>
    <w:tmpl w:val="23C1579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5">
    <w:nsid w:val="23D605FE"/>
    <w:multiLevelType w:val="multilevel"/>
    <w:tmpl w:val="23D605F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6">
    <w:nsid w:val="241D306E"/>
    <w:multiLevelType w:val="multilevel"/>
    <w:tmpl w:val="241D306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87">
    <w:nsid w:val="25B8447B"/>
    <w:multiLevelType w:val="multilevel"/>
    <w:tmpl w:val="25B8447B"/>
    <w:lvl w:ilvl="0" w:tentative="0">
      <w:start w:val="1"/>
      <w:numFmt w:val="decimal"/>
      <w:lvlText w:val="%1."/>
      <w:lvlJc w:val="left"/>
      <w:pPr>
        <w:ind w:left="360" w:hanging="360"/>
      </w:pPr>
      <w:rPr>
        <w:rFonts w:hint="default" w:ascii="楷体_GB2312" w:eastAsia="楷体_GB2312"/>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88">
    <w:nsid w:val="25DA4613"/>
    <w:multiLevelType w:val="multilevel"/>
    <w:tmpl w:val="25DA461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89">
    <w:nsid w:val="25E9140F"/>
    <w:multiLevelType w:val="multilevel"/>
    <w:tmpl w:val="25E9140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0">
    <w:nsid w:val="260C4B5F"/>
    <w:multiLevelType w:val="multilevel"/>
    <w:tmpl w:val="260C4B5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1">
    <w:nsid w:val="269B4249"/>
    <w:multiLevelType w:val="multilevel"/>
    <w:tmpl w:val="269B424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2">
    <w:nsid w:val="26C222A3"/>
    <w:multiLevelType w:val="multilevel"/>
    <w:tmpl w:val="26C222A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93">
    <w:nsid w:val="26CA5B60"/>
    <w:multiLevelType w:val="multilevel"/>
    <w:tmpl w:val="26CA5B6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4">
    <w:nsid w:val="27F65033"/>
    <w:multiLevelType w:val="multilevel"/>
    <w:tmpl w:val="27F6503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5">
    <w:nsid w:val="27FE77CC"/>
    <w:multiLevelType w:val="multilevel"/>
    <w:tmpl w:val="27FE77C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6">
    <w:nsid w:val="28770782"/>
    <w:multiLevelType w:val="multilevel"/>
    <w:tmpl w:val="2877078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7">
    <w:nsid w:val="28E50ED2"/>
    <w:multiLevelType w:val="multilevel"/>
    <w:tmpl w:val="28E50ED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98">
    <w:nsid w:val="291E1F2B"/>
    <w:multiLevelType w:val="multilevel"/>
    <w:tmpl w:val="291E1F2B"/>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99">
    <w:nsid w:val="2922288D"/>
    <w:multiLevelType w:val="multilevel"/>
    <w:tmpl w:val="2922288D"/>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00">
    <w:nsid w:val="29611B74"/>
    <w:multiLevelType w:val="multilevel"/>
    <w:tmpl w:val="29611B74"/>
    <w:lvl w:ilvl="0" w:tentative="0">
      <w:start w:val="1"/>
      <w:numFmt w:val="decimal"/>
      <w:lvlText w:val="%1、"/>
      <w:lvlJc w:val="left"/>
      <w:pPr>
        <w:ind w:left="719" w:hanging="360"/>
      </w:pPr>
      <w:rPr>
        <w:rFonts w:hint="default"/>
      </w:rPr>
    </w:lvl>
    <w:lvl w:ilvl="1" w:tentative="0">
      <w:start w:val="1"/>
      <w:numFmt w:val="lowerLetter"/>
      <w:lvlText w:val="%2)"/>
      <w:lvlJc w:val="left"/>
      <w:pPr>
        <w:ind w:left="1199" w:hanging="420"/>
      </w:pPr>
    </w:lvl>
    <w:lvl w:ilvl="2" w:tentative="0">
      <w:start w:val="1"/>
      <w:numFmt w:val="lowerRoman"/>
      <w:lvlText w:val="%3."/>
      <w:lvlJc w:val="right"/>
      <w:pPr>
        <w:ind w:left="1619" w:hanging="420"/>
      </w:pPr>
    </w:lvl>
    <w:lvl w:ilvl="3" w:tentative="0">
      <w:start w:val="1"/>
      <w:numFmt w:val="decimal"/>
      <w:lvlText w:val="%4."/>
      <w:lvlJc w:val="left"/>
      <w:pPr>
        <w:ind w:left="2039" w:hanging="420"/>
      </w:pPr>
    </w:lvl>
    <w:lvl w:ilvl="4" w:tentative="0">
      <w:start w:val="1"/>
      <w:numFmt w:val="lowerLetter"/>
      <w:lvlText w:val="%5)"/>
      <w:lvlJc w:val="left"/>
      <w:pPr>
        <w:ind w:left="2459" w:hanging="420"/>
      </w:pPr>
    </w:lvl>
    <w:lvl w:ilvl="5" w:tentative="0">
      <w:start w:val="1"/>
      <w:numFmt w:val="lowerRoman"/>
      <w:lvlText w:val="%6."/>
      <w:lvlJc w:val="right"/>
      <w:pPr>
        <w:ind w:left="2879" w:hanging="420"/>
      </w:pPr>
    </w:lvl>
    <w:lvl w:ilvl="6" w:tentative="0">
      <w:start w:val="1"/>
      <w:numFmt w:val="decimal"/>
      <w:lvlText w:val="%7."/>
      <w:lvlJc w:val="left"/>
      <w:pPr>
        <w:ind w:left="3299" w:hanging="420"/>
      </w:pPr>
    </w:lvl>
    <w:lvl w:ilvl="7" w:tentative="0">
      <w:start w:val="1"/>
      <w:numFmt w:val="lowerLetter"/>
      <w:lvlText w:val="%8)"/>
      <w:lvlJc w:val="left"/>
      <w:pPr>
        <w:ind w:left="3719" w:hanging="420"/>
      </w:pPr>
    </w:lvl>
    <w:lvl w:ilvl="8" w:tentative="0">
      <w:start w:val="1"/>
      <w:numFmt w:val="lowerRoman"/>
      <w:lvlText w:val="%9."/>
      <w:lvlJc w:val="right"/>
      <w:pPr>
        <w:ind w:left="4139" w:hanging="420"/>
      </w:pPr>
    </w:lvl>
  </w:abstractNum>
  <w:abstractNum w:abstractNumId="101">
    <w:nsid w:val="298F0D2E"/>
    <w:multiLevelType w:val="multilevel"/>
    <w:tmpl w:val="298F0D2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02">
    <w:nsid w:val="29FB4A25"/>
    <w:multiLevelType w:val="multilevel"/>
    <w:tmpl w:val="29FB4A25"/>
    <w:lvl w:ilvl="0" w:tentative="0">
      <w:start w:val="1"/>
      <w:numFmt w:val="bullet"/>
      <w:lvlText w:val=""/>
      <w:lvlJc w:val="left"/>
      <w:pPr>
        <w:tabs>
          <w:tab w:val="left" w:pos="360"/>
        </w:tabs>
        <w:ind w:left="360" w:hanging="360"/>
      </w:pPr>
      <w:rPr>
        <w:rFonts w:hint="default" w:ascii="Wingdings" w:hAnsi="Wingdings"/>
      </w:rPr>
    </w:lvl>
    <w:lvl w:ilvl="1" w:tentative="0">
      <w:start w:val="1"/>
      <w:numFmt w:val="bullet"/>
      <w:lvlText w:val=""/>
      <w:lvlJc w:val="left"/>
      <w:pPr>
        <w:tabs>
          <w:tab w:val="left" w:pos="1080"/>
        </w:tabs>
        <w:ind w:left="1080" w:hanging="360"/>
      </w:pPr>
      <w:rPr>
        <w:rFonts w:hint="default" w:ascii="Wingdings" w:hAnsi="Wingdings"/>
      </w:rPr>
    </w:lvl>
    <w:lvl w:ilvl="2" w:tentative="0">
      <w:start w:val="1"/>
      <w:numFmt w:val="bullet"/>
      <w:lvlText w:val=""/>
      <w:lvlJc w:val="left"/>
      <w:pPr>
        <w:tabs>
          <w:tab w:val="left" w:pos="1800"/>
        </w:tabs>
        <w:ind w:left="1800" w:hanging="360"/>
      </w:pPr>
      <w:rPr>
        <w:rFonts w:hint="default" w:ascii="Wingdings" w:hAnsi="Wingdings"/>
      </w:rPr>
    </w:lvl>
    <w:lvl w:ilvl="3" w:tentative="0">
      <w:start w:val="1"/>
      <w:numFmt w:val="bullet"/>
      <w:lvlText w:val=""/>
      <w:lvlJc w:val="left"/>
      <w:pPr>
        <w:tabs>
          <w:tab w:val="left" w:pos="2520"/>
        </w:tabs>
        <w:ind w:left="2520" w:hanging="360"/>
      </w:pPr>
      <w:rPr>
        <w:rFonts w:hint="default" w:ascii="Wingdings" w:hAnsi="Wingdings"/>
      </w:rPr>
    </w:lvl>
    <w:lvl w:ilvl="4" w:tentative="0">
      <w:start w:val="1"/>
      <w:numFmt w:val="bullet"/>
      <w:lvlText w:val=""/>
      <w:lvlJc w:val="left"/>
      <w:pPr>
        <w:tabs>
          <w:tab w:val="left" w:pos="3240"/>
        </w:tabs>
        <w:ind w:left="3240" w:hanging="360"/>
      </w:pPr>
      <w:rPr>
        <w:rFonts w:hint="default" w:ascii="Wingdings" w:hAnsi="Wingdings"/>
      </w:rPr>
    </w:lvl>
    <w:lvl w:ilvl="5" w:tentative="0">
      <w:start w:val="1"/>
      <w:numFmt w:val="bullet"/>
      <w:lvlText w:val=""/>
      <w:lvlJc w:val="left"/>
      <w:pPr>
        <w:tabs>
          <w:tab w:val="left" w:pos="3960"/>
        </w:tabs>
        <w:ind w:left="3960" w:hanging="360"/>
      </w:pPr>
      <w:rPr>
        <w:rFonts w:hint="default" w:ascii="Wingdings" w:hAnsi="Wingdings"/>
      </w:rPr>
    </w:lvl>
    <w:lvl w:ilvl="6" w:tentative="0">
      <w:start w:val="1"/>
      <w:numFmt w:val="bullet"/>
      <w:lvlText w:val=""/>
      <w:lvlJc w:val="left"/>
      <w:pPr>
        <w:tabs>
          <w:tab w:val="left" w:pos="4680"/>
        </w:tabs>
        <w:ind w:left="4680" w:hanging="360"/>
      </w:pPr>
      <w:rPr>
        <w:rFonts w:hint="default" w:ascii="Wingdings" w:hAnsi="Wingdings"/>
      </w:rPr>
    </w:lvl>
    <w:lvl w:ilvl="7" w:tentative="0">
      <w:start w:val="1"/>
      <w:numFmt w:val="bullet"/>
      <w:lvlText w:val=""/>
      <w:lvlJc w:val="left"/>
      <w:pPr>
        <w:tabs>
          <w:tab w:val="left" w:pos="5400"/>
        </w:tabs>
        <w:ind w:left="5400" w:hanging="360"/>
      </w:pPr>
      <w:rPr>
        <w:rFonts w:hint="default" w:ascii="Wingdings" w:hAnsi="Wingdings"/>
      </w:rPr>
    </w:lvl>
    <w:lvl w:ilvl="8" w:tentative="0">
      <w:start w:val="1"/>
      <w:numFmt w:val="bullet"/>
      <w:lvlText w:val=""/>
      <w:lvlJc w:val="left"/>
      <w:pPr>
        <w:tabs>
          <w:tab w:val="left" w:pos="6120"/>
        </w:tabs>
        <w:ind w:left="6120" w:hanging="360"/>
      </w:pPr>
      <w:rPr>
        <w:rFonts w:hint="default" w:ascii="Wingdings" w:hAnsi="Wingdings"/>
      </w:rPr>
    </w:lvl>
  </w:abstractNum>
  <w:abstractNum w:abstractNumId="103">
    <w:nsid w:val="2A676CF6"/>
    <w:multiLevelType w:val="multilevel"/>
    <w:tmpl w:val="2A676CF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04">
    <w:nsid w:val="2B84274C"/>
    <w:multiLevelType w:val="multilevel"/>
    <w:tmpl w:val="2B84274C"/>
    <w:lvl w:ilvl="0" w:tentative="0">
      <w:start w:val="1"/>
      <w:numFmt w:val="decimal"/>
      <w:lvlText w:val="%1、"/>
      <w:lvlJc w:val="left"/>
      <w:pPr>
        <w:tabs>
          <w:tab w:val="left" w:pos="360"/>
        </w:tabs>
        <w:ind w:left="360" w:hanging="360"/>
      </w:pPr>
      <w:rPr>
        <w:rFonts w:hint="eastAsia"/>
      </w:rPr>
    </w:lvl>
    <w:lvl w:ilvl="1" w:tentative="0">
      <w:start w:val="1"/>
      <w:numFmt w:val="decimal"/>
      <w:lvlText w:val="%2、"/>
      <w:lvlJc w:val="left"/>
      <w:pPr>
        <w:tabs>
          <w:tab w:val="left" w:pos="780"/>
        </w:tabs>
        <w:ind w:left="780" w:hanging="360"/>
      </w:pPr>
      <w:rPr>
        <w:rFonts w:hint="eastAsia"/>
      </w:rPr>
    </w:lvl>
    <w:lvl w:ilvl="2" w:tentative="0">
      <w:start w:val="1"/>
      <w:numFmt w:val="japaneseCounting"/>
      <w:lvlText w:val="第%3节"/>
      <w:lvlJc w:val="left"/>
      <w:pPr>
        <w:tabs>
          <w:tab w:val="left" w:pos="1560"/>
        </w:tabs>
        <w:ind w:left="1560" w:hanging="720"/>
      </w:pPr>
      <w:rPr>
        <w:rFonts w:hint="eastAsia"/>
      </w:rPr>
    </w:lvl>
    <w:lvl w:ilvl="3" w:tentative="0">
      <w:start w:val="9"/>
      <w:numFmt w:val="japaneseCounting"/>
      <w:lvlText w:val="第%4章"/>
      <w:lvlJc w:val="left"/>
      <w:pPr>
        <w:tabs>
          <w:tab w:val="left" w:pos="1980"/>
        </w:tabs>
        <w:ind w:left="1980" w:hanging="720"/>
      </w:pPr>
      <w:rPr>
        <w:rFonts w:hint="eastAsia"/>
      </w:r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105">
    <w:nsid w:val="2B8B296A"/>
    <w:multiLevelType w:val="multilevel"/>
    <w:tmpl w:val="2B8B296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06">
    <w:nsid w:val="2BD24C48"/>
    <w:multiLevelType w:val="multilevel"/>
    <w:tmpl w:val="2BD24C4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07">
    <w:nsid w:val="2BD710C0"/>
    <w:multiLevelType w:val="multilevel"/>
    <w:tmpl w:val="2BD710C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08">
    <w:nsid w:val="2C5D3483"/>
    <w:multiLevelType w:val="multilevel"/>
    <w:tmpl w:val="2C5D348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09">
    <w:nsid w:val="2CAF6746"/>
    <w:multiLevelType w:val="multilevel"/>
    <w:tmpl w:val="2CAF674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10">
    <w:nsid w:val="2D2A72AE"/>
    <w:multiLevelType w:val="multilevel"/>
    <w:tmpl w:val="2D2A72AE"/>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11">
    <w:nsid w:val="2E5709DB"/>
    <w:multiLevelType w:val="multilevel"/>
    <w:tmpl w:val="2E5709D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2">
    <w:nsid w:val="2F59182B"/>
    <w:multiLevelType w:val="multilevel"/>
    <w:tmpl w:val="2F59182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3">
    <w:nsid w:val="300603A8"/>
    <w:multiLevelType w:val="multilevel"/>
    <w:tmpl w:val="300603A8"/>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14">
    <w:nsid w:val="309A5320"/>
    <w:multiLevelType w:val="multilevel"/>
    <w:tmpl w:val="309A532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5">
    <w:nsid w:val="30DC2509"/>
    <w:multiLevelType w:val="multilevel"/>
    <w:tmpl w:val="30DC250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6">
    <w:nsid w:val="31C7677E"/>
    <w:multiLevelType w:val="multilevel"/>
    <w:tmpl w:val="31C7677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7">
    <w:nsid w:val="332D7155"/>
    <w:multiLevelType w:val="multilevel"/>
    <w:tmpl w:val="332D715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8">
    <w:nsid w:val="337375E6"/>
    <w:multiLevelType w:val="multilevel"/>
    <w:tmpl w:val="337375E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19">
    <w:nsid w:val="34EE529F"/>
    <w:multiLevelType w:val="multilevel"/>
    <w:tmpl w:val="34EE529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0">
    <w:nsid w:val="35EC67AA"/>
    <w:multiLevelType w:val="multilevel"/>
    <w:tmpl w:val="35EC67AA"/>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21">
    <w:nsid w:val="36D37F94"/>
    <w:multiLevelType w:val="multilevel"/>
    <w:tmpl w:val="36D37F9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2">
    <w:nsid w:val="36F04392"/>
    <w:multiLevelType w:val="multilevel"/>
    <w:tmpl w:val="36F0439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3">
    <w:nsid w:val="374344F0"/>
    <w:multiLevelType w:val="multilevel"/>
    <w:tmpl w:val="374344F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24">
    <w:nsid w:val="38136925"/>
    <w:multiLevelType w:val="multilevel"/>
    <w:tmpl w:val="3813692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5">
    <w:nsid w:val="38294336"/>
    <w:multiLevelType w:val="multilevel"/>
    <w:tmpl w:val="3829433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6">
    <w:nsid w:val="389C0AEB"/>
    <w:multiLevelType w:val="multilevel"/>
    <w:tmpl w:val="389C0AE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7">
    <w:nsid w:val="38B66D5A"/>
    <w:multiLevelType w:val="multilevel"/>
    <w:tmpl w:val="38B66D5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8">
    <w:nsid w:val="391756DC"/>
    <w:multiLevelType w:val="multilevel"/>
    <w:tmpl w:val="391756D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29">
    <w:nsid w:val="39CC126B"/>
    <w:multiLevelType w:val="multilevel"/>
    <w:tmpl w:val="39CC126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30">
    <w:nsid w:val="39DF5588"/>
    <w:multiLevelType w:val="multilevel"/>
    <w:tmpl w:val="39DF5588"/>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31">
    <w:nsid w:val="39E825F1"/>
    <w:multiLevelType w:val="multilevel"/>
    <w:tmpl w:val="39E825F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2">
    <w:nsid w:val="3A440291"/>
    <w:multiLevelType w:val="multilevel"/>
    <w:tmpl w:val="3A44029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3">
    <w:nsid w:val="3A911DE0"/>
    <w:multiLevelType w:val="multilevel"/>
    <w:tmpl w:val="3A911DE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34">
    <w:nsid w:val="3ABF7302"/>
    <w:multiLevelType w:val="multilevel"/>
    <w:tmpl w:val="3ABF730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5">
    <w:nsid w:val="3B834992"/>
    <w:multiLevelType w:val="multilevel"/>
    <w:tmpl w:val="3B834992"/>
    <w:lvl w:ilvl="0" w:tentative="0">
      <w:start w:val="1"/>
      <w:numFmt w:val="japaneseCounting"/>
      <w:lvlText w:val="%1．"/>
      <w:lvlJc w:val="left"/>
      <w:pPr>
        <w:tabs>
          <w:tab w:val="left" w:pos="210"/>
        </w:tabs>
        <w:ind w:left="210" w:hanging="210"/>
      </w:pPr>
      <w:rPr>
        <w:rFonts w:ascii="楷体_GB2312" w:hAnsi="Cambria" w:eastAsia="楷体_GB2312" w:cs="Times New Roman"/>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6">
    <w:nsid w:val="3B991D5A"/>
    <w:multiLevelType w:val="multilevel"/>
    <w:tmpl w:val="3B991D5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7">
    <w:nsid w:val="3BE50906"/>
    <w:multiLevelType w:val="multilevel"/>
    <w:tmpl w:val="3BE5090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38">
    <w:nsid w:val="3C067E3A"/>
    <w:multiLevelType w:val="multilevel"/>
    <w:tmpl w:val="3C067E3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39">
    <w:nsid w:val="3CF075BD"/>
    <w:multiLevelType w:val="multilevel"/>
    <w:tmpl w:val="3CF075B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0">
    <w:nsid w:val="3DAB1745"/>
    <w:multiLevelType w:val="multilevel"/>
    <w:tmpl w:val="3DAB174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1">
    <w:nsid w:val="3DB9103A"/>
    <w:multiLevelType w:val="multilevel"/>
    <w:tmpl w:val="3DB9103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2">
    <w:nsid w:val="3EB13F50"/>
    <w:multiLevelType w:val="multilevel"/>
    <w:tmpl w:val="3EB13F5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3">
    <w:nsid w:val="3EB14709"/>
    <w:multiLevelType w:val="multilevel"/>
    <w:tmpl w:val="3EB1470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4">
    <w:nsid w:val="3EFA40D3"/>
    <w:multiLevelType w:val="multilevel"/>
    <w:tmpl w:val="3EFA40D3"/>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5">
    <w:nsid w:val="3F864B00"/>
    <w:multiLevelType w:val="multilevel"/>
    <w:tmpl w:val="3F864B0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46">
    <w:nsid w:val="3F9C060D"/>
    <w:multiLevelType w:val="multilevel"/>
    <w:tmpl w:val="3F9C060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7">
    <w:nsid w:val="3FB00C28"/>
    <w:multiLevelType w:val="multilevel"/>
    <w:tmpl w:val="3FB00C2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48">
    <w:nsid w:val="40890B54"/>
    <w:multiLevelType w:val="multilevel"/>
    <w:tmpl w:val="40890B5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9">
    <w:nsid w:val="409A12D8"/>
    <w:multiLevelType w:val="multilevel"/>
    <w:tmpl w:val="409A12D8"/>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50">
    <w:nsid w:val="409E2576"/>
    <w:multiLevelType w:val="multilevel"/>
    <w:tmpl w:val="409E257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1">
    <w:nsid w:val="40CD2881"/>
    <w:multiLevelType w:val="multilevel"/>
    <w:tmpl w:val="40CD2881"/>
    <w:lvl w:ilvl="0" w:tentative="0">
      <w:start w:val="1"/>
      <w:numFmt w:val="bullet"/>
      <w:lvlText w:val=""/>
      <w:lvlJc w:val="left"/>
      <w:pPr>
        <w:tabs>
          <w:tab w:val="left" w:pos="644"/>
        </w:tabs>
        <w:ind w:left="644"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2">
    <w:nsid w:val="41493F9E"/>
    <w:multiLevelType w:val="multilevel"/>
    <w:tmpl w:val="41493F9E"/>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53">
    <w:nsid w:val="414B1E2C"/>
    <w:multiLevelType w:val="multilevel"/>
    <w:tmpl w:val="414B1E2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4">
    <w:nsid w:val="41D24F35"/>
    <w:multiLevelType w:val="multilevel"/>
    <w:tmpl w:val="41D24F3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5">
    <w:nsid w:val="41E51F3F"/>
    <w:multiLevelType w:val="multilevel"/>
    <w:tmpl w:val="41E51F3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6">
    <w:nsid w:val="41F05C06"/>
    <w:multiLevelType w:val="multilevel"/>
    <w:tmpl w:val="41F05C0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7">
    <w:nsid w:val="42784A88"/>
    <w:multiLevelType w:val="multilevel"/>
    <w:tmpl w:val="42784A8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8">
    <w:nsid w:val="42FC7424"/>
    <w:multiLevelType w:val="multilevel"/>
    <w:tmpl w:val="42FC742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59">
    <w:nsid w:val="43D1736C"/>
    <w:multiLevelType w:val="multilevel"/>
    <w:tmpl w:val="43D1736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0">
    <w:nsid w:val="442E6C0A"/>
    <w:multiLevelType w:val="multilevel"/>
    <w:tmpl w:val="442E6C0A"/>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1">
    <w:nsid w:val="450518C4"/>
    <w:multiLevelType w:val="multilevel"/>
    <w:tmpl w:val="450518C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2">
    <w:nsid w:val="457273AF"/>
    <w:multiLevelType w:val="multilevel"/>
    <w:tmpl w:val="457273A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3">
    <w:nsid w:val="45786170"/>
    <w:multiLevelType w:val="multilevel"/>
    <w:tmpl w:val="4578617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4">
    <w:nsid w:val="45911D97"/>
    <w:multiLevelType w:val="multilevel"/>
    <w:tmpl w:val="45911D9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5">
    <w:nsid w:val="45D37D9B"/>
    <w:multiLevelType w:val="multilevel"/>
    <w:tmpl w:val="45D37D9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6">
    <w:nsid w:val="45E77ADC"/>
    <w:multiLevelType w:val="multilevel"/>
    <w:tmpl w:val="45E77ADC"/>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67">
    <w:nsid w:val="460D22F4"/>
    <w:multiLevelType w:val="multilevel"/>
    <w:tmpl w:val="460D22F4"/>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68">
    <w:nsid w:val="46ED2657"/>
    <w:multiLevelType w:val="multilevel"/>
    <w:tmpl w:val="46ED265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69">
    <w:nsid w:val="471375D3"/>
    <w:multiLevelType w:val="multilevel"/>
    <w:tmpl w:val="471375D3"/>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70">
    <w:nsid w:val="47467D0D"/>
    <w:multiLevelType w:val="multilevel"/>
    <w:tmpl w:val="47467D0D"/>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71">
    <w:nsid w:val="481E686C"/>
    <w:multiLevelType w:val="multilevel"/>
    <w:tmpl w:val="481E686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2">
    <w:nsid w:val="49477468"/>
    <w:multiLevelType w:val="multilevel"/>
    <w:tmpl w:val="4947746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3">
    <w:nsid w:val="49783E04"/>
    <w:multiLevelType w:val="multilevel"/>
    <w:tmpl w:val="49783E0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4">
    <w:nsid w:val="4A38149B"/>
    <w:multiLevelType w:val="multilevel"/>
    <w:tmpl w:val="4A38149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5">
    <w:nsid w:val="4A427F2B"/>
    <w:multiLevelType w:val="multilevel"/>
    <w:tmpl w:val="4A427F2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6">
    <w:nsid w:val="4AD644E4"/>
    <w:multiLevelType w:val="multilevel"/>
    <w:tmpl w:val="4AD644E4"/>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77">
    <w:nsid w:val="4B3F0194"/>
    <w:multiLevelType w:val="multilevel"/>
    <w:tmpl w:val="4B3F019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8">
    <w:nsid w:val="4B820EDD"/>
    <w:multiLevelType w:val="multilevel"/>
    <w:tmpl w:val="4B820ED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79">
    <w:nsid w:val="4B94358E"/>
    <w:multiLevelType w:val="multilevel"/>
    <w:tmpl w:val="4B94358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0">
    <w:nsid w:val="4C5A6226"/>
    <w:multiLevelType w:val="multilevel"/>
    <w:tmpl w:val="4C5A622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1">
    <w:nsid w:val="4CAD55C5"/>
    <w:multiLevelType w:val="multilevel"/>
    <w:tmpl w:val="4CAD55C5"/>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82">
    <w:nsid w:val="4D1148B5"/>
    <w:multiLevelType w:val="multilevel"/>
    <w:tmpl w:val="4D1148B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3">
    <w:nsid w:val="4D3E781C"/>
    <w:multiLevelType w:val="multilevel"/>
    <w:tmpl w:val="4D3E781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4">
    <w:nsid w:val="4D742FAE"/>
    <w:multiLevelType w:val="multilevel"/>
    <w:tmpl w:val="4D742FAE"/>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85">
    <w:nsid w:val="4DAB5CA2"/>
    <w:multiLevelType w:val="multilevel"/>
    <w:tmpl w:val="4DAB5CA2"/>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86">
    <w:nsid w:val="4DB1357F"/>
    <w:multiLevelType w:val="multilevel"/>
    <w:tmpl w:val="4DB1357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7">
    <w:nsid w:val="4E2C27C1"/>
    <w:multiLevelType w:val="multilevel"/>
    <w:tmpl w:val="4E2C27C1"/>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88">
    <w:nsid w:val="4E6E19AF"/>
    <w:multiLevelType w:val="multilevel"/>
    <w:tmpl w:val="4E6E19A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89">
    <w:nsid w:val="4EAC57C2"/>
    <w:multiLevelType w:val="multilevel"/>
    <w:tmpl w:val="4EAC57C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0">
    <w:nsid w:val="4F083D1D"/>
    <w:multiLevelType w:val="multilevel"/>
    <w:tmpl w:val="4F083D1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1">
    <w:nsid w:val="4FCD20D5"/>
    <w:multiLevelType w:val="multilevel"/>
    <w:tmpl w:val="4FCD20D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2">
    <w:nsid w:val="50E0660B"/>
    <w:multiLevelType w:val="multilevel"/>
    <w:tmpl w:val="50E0660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3">
    <w:nsid w:val="52292D4C"/>
    <w:multiLevelType w:val="multilevel"/>
    <w:tmpl w:val="52292D4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4">
    <w:nsid w:val="522C1956"/>
    <w:multiLevelType w:val="multilevel"/>
    <w:tmpl w:val="522C1956"/>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195">
    <w:nsid w:val="52984511"/>
    <w:multiLevelType w:val="multilevel"/>
    <w:tmpl w:val="5298451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6">
    <w:nsid w:val="53373291"/>
    <w:multiLevelType w:val="multilevel"/>
    <w:tmpl w:val="5337329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7">
    <w:nsid w:val="53B05AE8"/>
    <w:multiLevelType w:val="multilevel"/>
    <w:tmpl w:val="53B05AE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8">
    <w:nsid w:val="53CA23A1"/>
    <w:multiLevelType w:val="multilevel"/>
    <w:tmpl w:val="53CA23A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199">
    <w:nsid w:val="544C3D0E"/>
    <w:multiLevelType w:val="multilevel"/>
    <w:tmpl w:val="544C3D0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0">
    <w:nsid w:val="545225D8"/>
    <w:multiLevelType w:val="multilevel"/>
    <w:tmpl w:val="545225D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1">
    <w:nsid w:val="54981DC4"/>
    <w:multiLevelType w:val="multilevel"/>
    <w:tmpl w:val="54981DC4"/>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02">
    <w:nsid w:val="549E7118"/>
    <w:multiLevelType w:val="multilevel"/>
    <w:tmpl w:val="549E711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3">
    <w:nsid w:val="55073A2B"/>
    <w:multiLevelType w:val="multilevel"/>
    <w:tmpl w:val="55073A2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4">
    <w:nsid w:val="55090781"/>
    <w:multiLevelType w:val="multilevel"/>
    <w:tmpl w:val="5509078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5">
    <w:nsid w:val="55D05F80"/>
    <w:multiLevelType w:val="multilevel"/>
    <w:tmpl w:val="55D05F8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6">
    <w:nsid w:val="55DC1AFE"/>
    <w:multiLevelType w:val="multilevel"/>
    <w:tmpl w:val="55DC1AF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7">
    <w:nsid w:val="567D3D44"/>
    <w:multiLevelType w:val="multilevel"/>
    <w:tmpl w:val="567D3D4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8">
    <w:nsid w:val="56D851E0"/>
    <w:multiLevelType w:val="multilevel"/>
    <w:tmpl w:val="56D851E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09">
    <w:nsid w:val="56E0067B"/>
    <w:multiLevelType w:val="multilevel"/>
    <w:tmpl w:val="56E0067B"/>
    <w:lvl w:ilvl="0" w:tentative="0">
      <w:start w:val="1"/>
      <w:numFmt w:val="decimal"/>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10">
    <w:nsid w:val="573B3C14"/>
    <w:multiLevelType w:val="multilevel"/>
    <w:tmpl w:val="573B3C14"/>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11">
    <w:nsid w:val="576920BE"/>
    <w:multiLevelType w:val="multilevel"/>
    <w:tmpl w:val="576920B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2">
    <w:nsid w:val="576B613D"/>
    <w:multiLevelType w:val="multilevel"/>
    <w:tmpl w:val="576B613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3">
    <w:nsid w:val="58544D3E"/>
    <w:multiLevelType w:val="multilevel"/>
    <w:tmpl w:val="58544D3E"/>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14">
    <w:nsid w:val="58C366F6"/>
    <w:multiLevelType w:val="multilevel"/>
    <w:tmpl w:val="58C366F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5">
    <w:nsid w:val="5A123A3B"/>
    <w:multiLevelType w:val="multilevel"/>
    <w:tmpl w:val="5A123A3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6">
    <w:nsid w:val="5A62353C"/>
    <w:multiLevelType w:val="multilevel"/>
    <w:tmpl w:val="5A62353C"/>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17">
    <w:nsid w:val="5C480AE9"/>
    <w:multiLevelType w:val="multilevel"/>
    <w:tmpl w:val="5C480AE9"/>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8">
    <w:nsid w:val="5CEA578A"/>
    <w:multiLevelType w:val="multilevel"/>
    <w:tmpl w:val="5CEA578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19">
    <w:nsid w:val="5D47321E"/>
    <w:multiLevelType w:val="multilevel"/>
    <w:tmpl w:val="5D47321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0">
    <w:nsid w:val="5D555395"/>
    <w:multiLevelType w:val="multilevel"/>
    <w:tmpl w:val="5D55539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1">
    <w:nsid w:val="5E9E1FA5"/>
    <w:multiLevelType w:val="multilevel"/>
    <w:tmpl w:val="5E9E1FA5"/>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22">
    <w:nsid w:val="5EDF658F"/>
    <w:multiLevelType w:val="multilevel"/>
    <w:tmpl w:val="5EDF658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3">
    <w:nsid w:val="5F2275B3"/>
    <w:multiLevelType w:val="multilevel"/>
    <w:tmpl w:val="5F2275B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4">
    <w:nsid w:val="5F977385"/>
    <w:multiLevelType w:val="multilevel"/>
    <w:tmpl w:val="5F97738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5">
    <w:nsid w:val="62440497"/>
    <w:multiLevelType w:val="multilevel"/>
    <w:tmpl w:val="6244049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6">
    <w:nsid w:val="624B3611"/>
    <w:multiLevelType w:val="multilevel"/>
    <w:tmpl w:val="624B361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7">
    <w:nsid w:val="629411D1"/>
    <w:multiLevelType w:val="multilevel"/>
    <w:tmpl w:val="629411D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8">
    <w:nsid w:val="6305033A"/>
    <w:multiLevelType w:val="multilevel"/>
    <w:tmpl w:val="6305033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29">
    <w:nsid w:val="63CF45EF"/>
    <w:multiLevelType w:val="multilevel"/>
    <w:tmpl w:val="63CF45E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0">
    <w:nsid w:val="64444065"/>
    <w:multiLevelType w:val="multilevel"/>
    <w:tmpl w:val="6444406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1">
    <w:nsid w:val="64F84328"/>
    <w:multiLevelType w:val="multilevel"/>
    <w:tmpl w:val="64F84328"/>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32">
    <w:nsid w:val="67882ACB"/>
    <w:multiLevelType w:val="multilevel"/>
    <w:tmpl w:val="67882AC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3">
    <w:nsid w:val="679463E1"/>
    <w:multiLevelType w:val="multilevel"/>
    <w:tmpl w:val="679463E1"/>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4">
    <w:nsid w:val="67C4090C"/>
    <w:multiLevelType w:val="multilevel"/>
    <w:tmpl w:val="67C4090C"/>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35">
    <w:nsid w:val="67E03E32"/>
    <w:multiLevelType w:val="multilevel"/>
    <w:tmpl w:val="67E03E3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6">
    <w:nsid w:val="67F57DBF"/>
    <w:multiLevelType w:val="multilevel"/>
    <w:tmpl w:val="67F57DB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37">
    <w:nsid w:val="689A389C"/>
    <w:multiLevelType w:val="multilevel"/>
    <w:tmpl w:val="689A389C"/>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38">
    <w:nsid w:val="69070EA8"/>
    <w:multiLevelType w:val="multilevel"/>
    <w:tmpl w:val="69070EA8"/>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39">
    <w:nsid w:val="69954484"/>
    <w:multiLevelType w:val="multilevel"/>
    <w:tmpl w:val="6995448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0">
    <w:nsid w:val="69B64628"/>
    <w:multiLevelType w:val="multilevel"/>
    <w:tmpl w:val="69B64628"/>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1">
    <w:nsid w:val="6A550AE9"/>
    <w:multiLevelType w:val="multilevel"/>
    <w:tmpl w:val="6A550AE9"/>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42">
    <w:nsid w:val="6A5D3335"/>
    <w:multiLevelType w:val="multilevel"/>
    <w:tmpl w:val="6A5D333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3">
    <w:nsid w:val="6A981FC6"/>
    <w:multiLevelType w:val="multilevel"/>
    <w:tmpl w:val="6A981FC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4">
    <w:nsid w:val="6AA504FE"/>
    <w:multiLevelType w:val="multilevel"/>
    <w:tmpl w:val="6AA504F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5">
    <w:nsid w:val="6AB44892"/>
    <w:multiLevelType w:val="multilevel"/>
    <w:tmpl w:val="6AB4489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6">
    <w:nsid w:val="6B090D53"/>
    <w:multiLevelType w:val="multilevel"/>
    <w:tmpl w:val="6B090D53"/>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47">
    <w:nsid w:val="6C1F4162"/>
    <w:multiLevelType w:val="multilevel"/>
    <w:tmpl w:val="6C1F4162"/>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48">
    <w:nsid w:val="6C4B4969"/>
    <w:multiLevelType w:val="multilevel"/>
    <w:tmpl w:val="6C4B4969"/>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49">
    <w:nsid w:val="6D6D3790"/>
    <w:multiLevelType w:val="multilevel"/>
    <w:tmpl w:val="6D6D3790"/>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50">
    <w:nsid w:val="6D9D7C72"/>
    <w:multiLevelType w:val="multilevel"/>
    <w:tmpl w:val="6D9D7C7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1">
    <w:nsid w:val="6DDD166F"/>
    <w:multiLevelType w:val="multilevel"/>
    <w:tmpl w:val="6DDD166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2">
    <w:nsid w:val="6E1163FE"/>
    <w:multiLevelType w:val="multilevel"/>
    <w:tmpl w:val="6E1163FE"/>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53">
    <w:nsid w:val="6E30015E"/>
    <w:multiLevelType w:val="multilevel"/>
    <w:tmpl w:val="6E30015E"/>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4">
    <w:nsid w:val="6E4069E0"/>
    <w:multiLevelType w:val="multilevel"/>
    <w:tmpl w:val="6E4069E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5">
    <w:nsid w:val="6E4C371B"/>
    <w:multiLevelType w:val="multilevel"/>
    <w:tmpl w:val="6E4C371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6">
    <w:nsid w:val="6E596B85"/>
    <w:multiLevelType w:val="singleLevel"/>
    <w:tmpl w:val="6E596B85"/>
    <w:lvl w:ilvl="0" w:tentative="0">
      <w:start w:val="1"/>
      <w:numFmt w:val="decimal"/>
      <w:lvlText w:val="%1."/>
      <w:lvlJc w:val="left"/>
      <w:pPr>
        <w:tabs>
          <w:tab w:val="left" w:pos="312"/>
        </w:tabs>
      </w:pPr>
    </w:lvl>
  </w:abstractNum>
  <w:abstractNum w:abstractNumId="257">
    <w:nsid w:val="6E730920"/>
    <w:multiLevelType w:val="multilevel"/>
    <w:tmpl w:val="6E73092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58">
    <w:nsid w:val="6EC70F75"/>
    <w:multiLevelType w:val="multilevel"/>
    <w:tmpl w:val="6EC70F75"/>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59">
    <w:nsid w:val="6EED4D16"/>
    <w:multiLevelType w:val="multilevel"/>
    <w:tmpl w:val="6EED4D16"/>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0">
    <w:nsid w:val="6F107AAC"/>
    <w:multiLevelType w:val="multilevel"/>
    <w:tmpl w:val="6F107AA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1">
    <w:nsid w:val="700F384B"/>
    <w:multiLevelType w:val="multilevel"/>
    <w:tmpl w:val="700F384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2">
    <w:nsid w:val="712B5E60"/>
    <w:multiLevelType w:val="multilevel"/>
    <w:tmpl w:val="712B5E6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3">
    <w:nsid w:val="71440DBF"/>
    <w:multiLevelType w:val="multilevel"/>
    <w:tmpl w:val="71440DB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4">
    <w:nsid w:val="71AC1521"/>
    <w:multiLevelType w:val="multilevel"/>
    <w:tmpl w:val="71AC1521"/>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65">
    <w:nsid w:val="721A3304"/>
    <w:multiLevelType w:val="multilevel"/>
    <w:tmpl w:val="721A3304"/>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6">
    <w:nsid w:val="72DC3FA5"/>
    <w:multiLevelType w:val="multilevel"/>
    <w:tmpl w:val="72DC3FA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7">
    <w:nsid w:val="72F15D4A"/>
    <w:multiLevelType w:val="multilevel"/>
    <w:tmpl w:val="72F15D4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8">
    <w:nsid w:val="741B7D82"/>
    <w:multiLevelType w:val="multilevel"/>
    <w:tmpl w:val="741B7D8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69">
    <w:nsid w:val="744D70B5"/>
    <w:multiLevelType w:val="multilevel"/>
    <w:tmpl w:val="744D70B5"/>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0">
    <w:nsid w:val="75D42595"/>
    <w:multiLevelType w:val="multilevel"/>
    <w:tmpl w:val="75D42595"/>
    <w:lvl w:ilvl="0" w:tentative="0">
      <w:start w:val="1"/>
      <w:numFmt w:val="decimal"/>
      <w:lvlText w:val="%1、"/>
      <w:lvlJc w:val="left"/>
      <w:pPr>
        <w:tabs>
          <w:tab w:val="left" w:pos="360"/>
        </w:tabs>
        <w:ind w:left="360" w:hanging="360"/>
      </w:pPr>
      <w:rPr>
        <w:rFonts w:hint="eastAsia"/>
      </w:rPr>
    </w:lvl>
    <w:lvl w:ilvl="1" w:tentative="0">
      <w:start w:val="1"/>
      <w:numFmt w:val="decimal"/>
      <w:lvlText w:val="%2、"/>
      <w:lvlJc w:val="left"/>
      <w:pPr>
        <w:tabs>
          <w:tab w:val="left" w:pos="780"/>
        </w:tabs>
        <w:ind w:left="780" w:hanging="360"/>
      </w:pPr>
      <w:rPr>
        <w:rFonts w:hint="eastAsia"/>
      </w:rPr>
    </w:lvl>
    <w:lvl w:ilvl="2" w:tentative="0">
      <w:start w:val="1"/>
      <w:numFmt w:val="japaneseCounting"/>
      <w:lvlText w:val="第%3节"/>
      <w:lvlJc w:val="left"/>
      <w:pPr>
        <w:tabs>
          <w:tab w:val="left" w:pos="1680"/>
        </w:tabs>
        <w:ind w:left="1680" w:hanging="840"/>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71">
    <w:nsid w:val="75F46DBC"/>
    <w:multiLevelType w:val="multilevel"/>
    <w:tmpl w:val="75F46DBC"/>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72">
    <w:nsid w:val="76B839AA"/>
    <w:multiLevelType w:val="multilevel"/>
    <w:tmpl w:val="76B839A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3">
    <w:nsid w:val="79C422F7"/>
    <w:multiLevelType w:val="multilevel"/>
    <w:tmpl w:val="79C422F7"/>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74">
    <w:nsid w:val="79DF37EB"/>
    <w:multiLevelType w:val="multilevel"/>
    <w:tmpl w:val="79DF37EB"/>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75">
    <w:nsid w:val="79F80171"/>
    <w:multiLevelType w:val="multilevel"/>
    <w:tmpl w:val="79F80171"/>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76">
    <w:nsid w:val="7A711E5D"/>
    <w:multiLevelType w:val="multilevel"/>
    <w:tmpl w:val="7A711E5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7">
    <w:nsid w:val="7AA84E87"/>
    <w:multiLevelType w:val="multilevel"/>
    <w:tmpl w:val="7AA84E87"/>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8">
    <w:nsid w:val="7B0C3C6D"/>
    <w:multiLevelType w:val="multilevel"/>
    <w:tmpl w:val="7B0C3C6D"/>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79">
    <w:nsid w:val="7B8043D2"/>
    <w:multiLevelType w:val="multilevel"/>
    <w:tmpl w:val="7B8043D2"/>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0">
    <w:nsid w:val="7B9D1500"/>
    <w:multiLevelType w:val="multilevel"/>
    <w:tmpl w:val="7B9D150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1">
    <w:nsid w:val="7BC16F55"/>
    <w:multiLevelType w:val="multilevel"/>
    <w:tmpl w:val="7BC16F55"/>
    <w:lvl w:ilvl="0" w:tentative="0">
      <w:start w:val="1"/>
      <w:numFmt w:val="decimal"/>
      <w:lvlText w:val="%1、"/>
      <w:lvlJc w:val="left"/>
      <w:pPr>
        <w:tabs>
          <w:tab w:val="left" w:pos="360"/>
        </w:tabs>
        <w:ind w:left="360" w:hanging="360"/>
      </w:pPr>
      <w:rPr>
        <w:rFonts w:hint="eastAsia"/>
      </w:rPr>
    </w:lvl>
    <w:lvl w:ilvl="1" w:tentative="0">
      <w:start w:val="1"/>
      <w:numFmt w:val="decimal"/>
      <w:lvlText w:val="%2、"/>
      <w:lvlJc w:val="left"/>
      <w:pPr>
        <w:tabs>
          <w:tab w:val="left" w:pos="780"/>
        </w:tabs>
        <w:ind w:left="780" w:hanging="360"/>
      </w:pPr>
      <w:rPr>
        <w:rFonts w:hint="eastAsia"/>
      </w:rPr>
    </w:lvl>
    <w:lvl w:ilvl="2" w:tentative="0">
      <w:start w:val="1"/>
      <w:numFmt w:val="japaneseCounting"/>
      <w:lvlText w:val="第%3节"/>
      <w:lvlJc w:val="left"/>
      <w:pPr>
        <w:tabs>
          <w:tab w:val="left" w:pos="1560"/>
        </w:tabs>
        <w:ind w:left="1560" w:hanging="720"/>
      </w:pPr>
      <w:rPr>
        <w:rFonts w:hint="eastAsia"/>
      </w:rPr>
    </w:lvl>
    <w:lvl w:ilvl="3" w:tentative="0">
      <w:start w:val="1"/>
      <w:numFmt w:val="decimal"/>
      <w:lvlText w:val="%4."/>
      <w:lvlJc w:val="left"/>
      <w:pPr>
        <w:tabs>
          <w:tab w:val="left" w:pos="1680"/>
        </w:tabs>
        <w:ind w:left="1680" w:hanging="420"/>
      </w:pPr>
    </w:lvl>
    <w:lvl w:ilvl="4" w:tentative="0">
      <w:start w:val="1"/>
      <w:numFmt w:val="lowerLetter"/>
      <w:lvlText w:val="%5)"/>
      <w:lvlJc w:val="left"/>
      <w:pPr>
        <w:tabs>
          <w:tab w:val="left" w:pos="2100"/>
        </w:tabs>
        <w:ind w:left="2100" w:hanging="420"/>
      </w:pPr>
    </w:lvl>
    <w:lvl w:ilvl="5" w:tentative="0">
      <w:start w:val="1"/>
      <w:numFmt w:val="lowerRoman"/>
      <w:lvlText w:val="%6."/>
      <w:lvlJc w:val="right"/>
      <w:pPr>
        <w:tabs>
          <w:tab w:val="left" w:pos="2520"/>
        </w:tabs>
        <w:ind w:left="2520" w:hanging="420"/>
      </w:pPr>
    </w:lvl>
    <w:lvl w:ilvl="6" w:tentative="0">
      <w:start w:val="1"/>
      <w:numFmt w:val="decimal"/>
      <w:lvlText w:val="%7."/>
      <w:lvlJc w:val="left"/>
      <w:pPr>
        <w:tabs>
          <w:tab w:val="left" w:pos="2940"/>
        </w:tabs>
        <w:ind w:left="2940" w:hanging="420"/>
      </w:pPr>
    </w:lvl>
    <w:lvl w:ilvl="7" w:tentative="0">
      <w:start w:val="1"/>
      <w:numFmt w:val="lowerLetter"/>
      <w:lvlText w:val="%8)"/>
      <w:lvlJc w:val="left"/>
      <w:pPr>
        <w:tabs>
          <w:tab w:val="left" w:pos="3360"/>
        </w:tabs>
        <w:ind w:left="3360" w:hanging="420"/>
      </w:pPr>
    </w:lvl>
    <w:lvl w:ilvl="8" w:tentative="0">
      <w:start w:val="1"/>
      <w:numFmt w:val="lowerRoman"/>
      <w:lvlText w:val="%9."/>
      <w:lvlJc w:val="right"/>
      <w:pPr>
        <w:tabs>
          <w:tab w:val="left" w:pos="3780"/>
        </w:tabs>
        <w:ind w:left="3780" w:hanging="420"/>
      </w:pPr>
    </w:lvl>
  </w:abstractNum>
  <w:abstractNum w:abstractNumId="282">
    <w:nsid w:val="7C8E364C"/>
    <w:multiLevelType w:val="multilevel"/>
    <w:tmpl w:val="7C8E364C"/>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3">
    <w:nsid w:val="7D5D2EE9"/>
    <w:multiLevelType w:val="multilevel"/>
    <w:tmpl w:val="7D5D2EE9"/>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84">
    <w:nsid w:val="7DD80BDB"/>
    <w:multiLevelType w:val="multilevel"/>
    <w:tmpl w:val="7DD80BDB"/>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5">
    <w:nsid w:val="7E530DAF"/>
    <w:multiLevelType w:val="multilevel"/>
    <w:tmpl w:val="7E530DAF"/>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6">
    <w:nsid w:val="7ED50340"/>
    <w:multiLevelType w:val="multilevel"/>
    <w:tmpl w:val="7ED50340"/>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7">
    <w:nsid w:val="7F291D6A"/>
    <w:multiLevelType w:val="multilevel"/>
    <w:tmpl w:val="7F291D6A"/>
    <w:lvl w:ilvl="0" w:tentative="0">
      <w:start w:val="1"/>
      <w:numFmt w:val="bullet"/>
      <w:lvlText w:val=""/>
      <w:lvlJc w:val="left"/>
      <w:pPr>
        <w:tabs>
          <w:tab w:val="left" w:pos="720"/>
        </w:tabs>
        <w:ind w:left="720" w:hanging="360"/>
      </w:pPr>
      <w:rPr>
        <w:rFonts w:hint="default" w:ascii="Wingdings" w:hAnsi="Wingdings"/>
      </w:rPr>
    </w:lvl>
    <w:lvl w:ilvl="1" w:tentative="0">
      <w:start w:val="1"/>
      <w:numFmt w:val="bullet"/>
      <w:lvlText w:val=""/>
      <w:lvlJc w:val="left"/>
      <w:pPr>
        <w:tabs>
          <w:tab w:val="left" w:pos="1440"/>
        </w:tabs>
        <w:ind w:left="1440" w:hanging="360"/>
      </w:pPr>
      <w:rPr>
        <w:rFonts w:hint="default" w:ascii="Wingdings" w:hAnsi="Wingdings"/>
      </w:rPr>
    </w:lvl>
    <w:lvl w:ilvl="2" w:tentative="0">
      <w:start w:val="1"/>
      <w:numFmt w:val="bullet"/>
      <w:lvlText w:val=""/>
      <w:lvlJc w:val="left"/>
      <w:pPr>
        <w:tabs>
          <w:tab w:val="left" w:pos="2160"/>
        </w:tabs>
        <w:ind w:left="2160" w:hanging="360"/>
      </w:pPr>
      <w:rPr>
        <w:rFonts w:hint="default" w:ascii="Wingdings" w:hAnsi="Wingdings"/>
      </w:rPr>
    </w:lvl>
    <w:lvl w:ilvl="3" w:tentative="0">
      <w:start w:val="1"/>
      <w:numFmt w:val="bullet"/>
      <w:lvlText w:val=""/>
      <w:lvlJc w:val="left"/>
      <w:pPr>
        <w:tabs>
          <w:tab w:val="left" w:pos="2880"/>
        </w:tabs>
        <w:ind w:left="2880" w:hanging="360"/>
      </w:pPr>
      <w:rPr>
        <w:rFonts w:hint="default" w:ascii="Wingdings" w:hAnsi="Wingdings"/>
      </w:rPr>
    </w:lvl>
    <w:lvl w:ilvl="4" w:tentative="0">
      <w:start w:val="1"/>
      <w:numFmt w:val="bullet"/>
      <w:lvlText w:val=""/>
      <w:lvlJc w:val="left"/>
      <w:pPr>
        <w:tabs>
          <w:tab w:val="left" w:pos="3600"/>
        </w:tabs>
        <w:ind w:left="3600" w:hanging="360"/>
      </w:pPr>
      <w:rPr>
        <w:rFonts w:hint="default" w:ascii="Wingdings" w:hAnsi="Wingdings"/>
      </w:rPr>
    </w:lvl>
    <w:lvl w:ilvl="5" w:tentative="0">
      <w:start w:val="1"/>
      <w:numFmt w:val="bullet"/>
      <w:lvlText w:val=""/>
      <w:lvlJc w:val="left"/>
      <w:pPr>
        <w:tabs>
          <w:tab w:val="left" w:pos="4320"/>
        </w:tabs>
        <w:ind w:left="4320" w:hanging="360"/>
      </w:pPr>
      <w:rPr>
        <w:rFonts w:hint="default" w:ascii="Wingdings" w:hAnsi="Wingdings"/>
      </w:rPr>
    </w:lvl>
    <w:lvl w:ilvl="6" w:tentative="0">
      <w:start w:val="1"/>
      <w:numFmt w:val="bullet"/>
      <w:lvlText w:val=""/>
      <w:lvlJc w:val="left"/>
      <w:pPr>
        <w:tabs>
          <w:tab w:val="left" w:pos="5040"/>
        </w:tabs>
        <w:ind w:left="5040" w:hanging="360"/>
      </w:pPr>
      <w:rPr>
        <w:rFonts w:hint="default" w:ascii="Wingdings" w:hAnsi="Wingdings"/>
      </w:rPr>
    </w:lvl>
    <w:lvl w:ilvl="7" w:tentative="0">
      <w:start w:val="1"/>
      <w:numFmt w:val="bullet"/>
      <w:lvlText w:val=""/>
      <w:lvlJc w:val="left"/>
      <w:pPr>
        <w:tabs>
          <w:tab w:val="left" w:pos="5760"/>
        </w:tabs>
        <w:ind w:left="5760" w:hanging="360"/>
      </w:pPr>
      <w:rPr>
        <w:rFonts w:hint="default" w:ascii="Wingdings" w:hAnsi="Wingdings"/>
      </w:rPr>
    </w:lvl>
    <w:lvl w:ilvl="8" w:tentative="0">
      <w:start w:val="1"/>
      <w:numFmt w:val="bullet"/>
      <w:lvlText w:val=""/>
      <w:lvlJc w:val="left"/>
      <w:pPr>
        <w:tabs>
          <w:tab w:val="left" w:pos="6480"/>
        </w:tabs>
        <w:ind w:left="6480" w:hanging="360"/>
      </w:pPr>
      <w:rPr>
        <w:rFonts w:hint="default" w:ascii="Wingdings" w:hAnsi="Wingdings"/>
      </w:rPr>
    </w:lvl>
  </w:abstractNum>
  <w:abstractNum w:abstractNumId="288">
    <w:nsid w:val="7F292E3F"/>
    <w:multiLevelType w:val="multilevel"/>
    <w:tmpl w:val="7F292E3F"/>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abstractNum w:abstractNumId="289">
    <w:nsid w:val="7F6C3988"/>
    <w:multiLevelType w:val="multilevel"/>
    <w:tmpl w:val="7F6C3988"/>
    <w:lvl w:ilvl="0" w:tentative="0">
      <w:start w:val="1"/>
      <w:numFmt w:val="bullet"/>
      <w:lvlText w:val="•"/>
      <w:lvlJc w:val="left"/>
      <w:pPr>
        <w:tabs>
          <w:tab w:val="left" w:pos="720"/>
        </w:tabs>
        <w:ind w:left="720" w:hanging="360"/>
      </w:pPr>
      <w:rPr>
        <w:rFonts w:hint="default" w:ascii="Arial" w:hAnsi="Arial"/>
      </w:rPr>
    </w:lvl>
    <w:lvl w:ilvl="1" w:tentative="0">
      <w:start w:val="1"/>
      <w:numFmt w:val="bullet"/>
      <w:lvlText w:val="•"/>
      <w:lvlJc w:val="left"/>
      <w:pPr>
        <w:tabs>
          <w:tab w:val="left" w:pos="1440"/>
        </w:tabs>
        <w:ind w:left="1440" w:hanging="360"/>
      </w:pPr>
      <w:rPr>
        <w:rFonts w:hint="default" w:ascii="Arial" w:hAnsi="Arial"/>
      </w:rPr>
    </w:lvl>
    <w:lvl w:ilvl="2" w:tentative="0">
      <w:start w:val="1"/>
      <w:numFmt w:val="bullet"/>
      <w:lvlText w:val="•"/>
      <w:lvlJc w:val="left"/>
      <w:pPr>
        <w:tabs>
          <w:tab w:val="left" w:pos="2160"/>
        </w:tabs>
        <w:ind w:left="2160" w:hanging="360"/>
      </w:pPr>
      <w:rPr>
        <w:rFonts w:hint="default" w:ascii="Arial" w:hAnsi="Arial"/>
      </w:rPr>
    </w:lvl>
    <w:lvl w:ilvl="3" w:tentative="0">
      <w:start w:val="1"/>
      <w:numFmt w:val="bullet"/>
      <w:lvlText w:val="•"/>
      <w:lvlJc w:val="left"/>
      <w:pPr>
        <w:tabs>
          <w:tab w:val="left" w:pos="2880"/>
        </w:tabs>
        <w:ind w:left="2880" w:hanging="360"/>
      </w:pPr>
      <w:rPr>
        <w:rFonts w:hint="default" w:ascii="Arial" w:hAnsi="Arial"/>
      </w:rPr>
    </w:lvl>
    <w:lvl w:ilvl="4" w:tentative="0">
      <w:start w:val="1"/>
      <w:numFmt w:val="bullet"/>
      <w:lvlText w:val="•"/>
      <w:lvlJc w:val="left"/>
      <w:pPr>
        <w:tabs>
          <w:tab w:val="left" w:pos="3600"/>
        </w:tabs>
        <w:ind w:left="3600" w:hanging="360"/>
      </w:pPr>
      <w:rPr>
        <w:rFonts w:hint="default" w:ascii="Arial" w:hAnsi="Arial"/>
      </w:rPr>
    </w:lvl>
    <w:lvl w:ilvl="5" w:tentative="0">
      <w:start w:val="1"/>
      <w:numFmt w:val="bullet"/>
      <w:lvlText w:val="•"/>
      <w:lvlJc w:val="left"/>
      <w:pPr>
        <w:tabs>
          <w:tab w:val="left" w:pos="4320"/>
        </w:tabs>
        <w:ind w:left="4320" w:hanging="360"/>
      </w:pPr>
      <w:rPr>
        <w:rFonts w:hint="default" w:ascii="Arial" w:hAnsi="Arial"/>
      </w:rPr>
    </w:lvl>
    <w:lvl w:ilvl="6" w:tentative="0">
      <w:start w:val="1"/>
      <w:numFmt w:val="bullet"/>
      <w:lvlText w:val="•"/>
      <w:lvlJc w:val="left"/>
      <w:pPr>
        <w:tabs>
          <w:tab w:val="left" w:pos="5040"/>
        </w:tabs>
        <w:ind w:left="5040" w:hanging="360"/>
      </w:pPr>
      <w:rPr>
        <w:rFonts w:hint="default" w:ascii="Arial" w:hAnsi="Arial"/>
      </w:rPr>
    </w:lvl>
    <w:lvl w:ilvl="7" w:tentative="0">
      <w:start w:val="1"/>
      <w:numFmt w:val="bullet"/>
      <w:lvlText w:val="•"/>
      <w:lvlJc w:val="left"/>
      <w:pPr>
        <w:tabs>
          <w:tab w:val="left" w:pos="5760"/>
        </w:tabs>
        <w:ind w:left="5760" w:hanging="360"/>
      </w:pPr>
      <w:rPr>
        <w:rFonts w:hint="default" w:ascii="Arial" w:hAnsi="Arial"/>
      </w:rPr>
    </w:lvl>
    <w:lvl w:ilvl="8" w:tentative="0">
      <w:start w:val="1"/>
      <w:numFmt w:val="bullet"/>
      <w:lvlText w:val="•"/>
      <w:lvlJc w:val="left"/>
      <w:pPr>
        <w:tabs>
          <w:tab w:val="left" w:pos="6480"/>
        </w:tabs>
        <w:ind w:left="6480" w:hanging="360"/>
      </w:pPr>
      <w:rPr>
        <w:rFonts w:hint="default" w:ascii="Arial" w:hAnsi="Arial"/>
      </w:rPr>
    </w:lvl>
  </w:abstractNum>
  <w:num w:numId="1">
    <w:abstractNumId w:val="99"/>
  </w:num>
  <w:num w:numId="2">
    <w:abstractNumId w:val="135"/>
  </w:num>
  <w:num w:numId="3">
    <w:abstractNumId w:val="2"/>
  </w:num>
  <w:num w:numId="4">
    <w:abstractNumId w:val="113"/>
  </w:num>
  <w:num w:numId="5">
    <w:abstractNumId w:val="41"/>
  </w:num>
  <w:num w:numId="6">
    <w:abstractNumId w:val="1"/>
  </w:num>
  <w:num w:numId="7">
    <w:abstractNumId w:val="100"/>
  </w:num>
  <w:num w:numId="8">
    <w:abstractNumId w:val="209"/>
  </w:num>
  <w:num w:numId="9">
    <w:abstractNumId w:val="9"/>
  </w:num>
  <w:num w:numId="10">
    <w:abstractNumId w:val="265"/>
  </w:num>
  <w:num w:numId="11">
    <w:abstractNumId w:val="26"/>
  </w:num>
  <w:num w:numId="12">
    <w:abstractNumId w:val="126"/>
  </w:num>
  <w:num w:numId="13">
    <w:abstractNumId w:val="64"/>
  </w:num>
  <w:num w:numId="14">
    <w:abstractNumId w:val="248"/>
  </w:num>
  <w:num w:numId="15">
    <w:abstractNumId w:val="183"/>
  </w:num>
  <w:num w:numId="16">
    <w:abstractNumId w:val="71"/>
  </w:num>
  <w:num w:numId="17">
    <w:abstractNumId w:val="86"/>
  </w:num>
  <w:num w:numId="18">
    <w:abstractNumId w:val="165"/>
  </w:num>
  <w:num w:numId="19">
    <w:abstractNumId w:val="75"/>
  </w:num>
  <w:num w:numId="20">
    <w:abstractNumId w:val="196"/>
  </w:num>
  <w:num w:numId="21">
    <w:abstractNumId w:val="241"/>
  </w:num>
  <w:num w:numId="22">
    <w:abstractNumId w:val="177"/>
  </w:num>
  <w:num w:numId="23">
    <w:abstractNumId w:val="246"/>
  </w:num>
  <w:num w:numId="24">
    <w:abstractNumId w:val="193"/>
  </w:num>
  <w:num w:numId="25">
    <w:abstractNumId w:val="81"/>
  </w:num>
  <w:num w:numId="26">
    <w:abstractNumId w:val="199"/>
  </w:num>
  <w:num w:numId="27">
    <w:abstractNumId w:val="105"/>
  </w:num>
  <w:num w:numId="28">
    <w:abstractNumId w:val="101"/>
  </w:num>
  <w:num w:numId="29">
    <w:abstractNumId w:val="178"/>
  </w:num>
  <w:num w:numId="30">
    <w:abstractNumId w:val="287"/>
  </w:num>
  <w:num w:numId="31">
    <w:abstractNumId w:val="226"/>
  </w:num>
  <w:num w:numId="32">
    <w:abstractNumId w:val="184"/>
  </w:num>
  <w:num w:numId="33">
    <w:abstractNumId w:val="229"/>
  </w:num>
  <w:num w:numId="34">
    <w:abstractNumId w:val="232"/>
  </w:num>
  <w:num w:numId="35">
    <w:abstractNumId w:val="142"/>
  </w:num>
  <w:num w:numId="36">
    <w:abstractNumId w:val="164"/>
  </w:num>
  <w:num w:numId="37">
    <w:abstractNumId w:val="154"/>
  </w:num>
  <w:num w:numId="38">
    <w:abstractNumId w:val="90"/>
  </w:num>
  <w:num w:numId="39">
    <w:abstractNumId w:val="271"/>
  </w:num>
  <w:num w:numId="40">
    <w:abstractNumId w:val="250"/>
  </w:num>
  <w:num w:numId="41">
    <w:abstractNumId w:val="152"/>
  </w:num>
  <w:num w:numId="42">
    <w:abstractNumId w:val="62"/>
  </w:num>
  <w:num w:numId="43">
    <w:abstractNumId w:val="36"/>
  </w:num>
  <w:num w:numId="44">
    <w:abstractNumId w:val="6"/>
  </w:num>
  <w:num w:numId="45">
    <w:abstractNumId w:val="19"/>
  </w:num>
  <w:num w:numId="46">
    <w:abstractNumId w:val="14"/>
  </w:num>
  <w:num w:numId="47">
    <w:abstractNumId w:val="215"/>
  </w:num>
  <w:num w:numId="48">
    <w:abstractNumId w:val="198"/>
  </w:num>
  <w:num w:numId="49">
    <w:abstractNumId w:val="30"/>
  </w:num>
  <w:num w:numId="50">
    <w:abstractNumId w:val="49"/>
  </w:num>
  <w:num w:numId="51">
    <w:abstractNumId w:val="144"/>
  </w:num>
  <w:num w:numId="52">
    <w:abstractNumId w:val="129"/>
  </w:num>
  <w:num w:numId="53">
    <w:abstractNumId w:val="176"/>
  </w:num>
  <w:num w:numId="54">
    <w:abstractNumId w:val="281"/>
  </w:num>
  <w:num w:numId="55">
    <w:abstractNumId w:val="104"/>
  </w:num>
  <w:num w:numId="56">
    <w:abstractNumId w:val="66"/>
  </w:num>
  <w:num w:numId="57">
    <w:abstractNumId w:val="270"/>
  </w:num>
  <w:num w:numId="58">
    <w:abstractNumId w:val="87"/>
  </w:num>
  <w:num w:numId="59">
    <w:abstractNumId w:val="55"/>
  </w:num>
  <w:num w:numId="60">
    <w:abstractNumId w:val="243"/>
  </w:num>
  <w:num w:numId="61">
    <w:abstractNumId w:val="146"/>
  </w:num>
  <w:num w:numId="62">
    <w:abstractNumId w:val="108"/>
  </w:num>
  <w:num w:numId="63">
    <w:abstractNumId w:val="127"/>
  </w:num>
  <w:num w:numId="64">
    <w:abstractNumId w:val="35"/>
  </w:num>
  <w:num w:numId="65">
    <w:abstractNumId w:val="163"/>
  </w:num>
  <w:num w:numId="66">
    <w:abstractNumId w:val="97"/>
  </w:num>
  <w:num w:numId="67">
    <w:abstractNumId w:val="121"/>
  </w:num>
  <w:num w:numId="68">
    <w:abstractNumId w:val="245"/>
  </w:num>
  <w:num w:numId="69">
    <w:abstractNumId w:val="280"/>
  </w:num>
  <w:num w:numId="70">
    <w:abstractNumId w:val="170"/>
  </w:num>
  <w:num w:numId="71">
    <w:abstractNumId w:val="233"/>
  </w:num>
  <w:num w:numId="72">
    <w:abstractNumId w:val="212"/>
  </w:num>
  <w:num w:numId="73">
    <w:abstractNumId w:val="275"/>
  </w:num>
  <w:num w:numId="74">
    <w:abstractNumId w:val="179"/>
  </w:num>
  <w:num w:numId="75">
    <w:abstractNumId w:val="44"/>
  </w:num>
  <w:num w:numId="76">
    <w:abstractNumId w:val="286"/>
  </w:num>
  <w:num w:numId="77">
    <w:abstractNumId w:val="244"/>
  </w:num>
  <w:num w:numId="78">
    <w:abstractNumId w:val="110"/>
  </w:num>
  <w:num w:numId="79">
    <w:abstractNumId w:val="282"/>
  </w:num>
  <w:num w:numId="80">
    <w:abstractNumId w:val="40"/>
  </w:num>
  <w:num w:numId="81">
    <w:abstractNumId w:val="283"/>
  </w:num>
  <w:num w:numId="82">
    <w:abstractNumId w:val="139"/>
  </w:num>
  <w:num w:numId="83">
    <w:abstractNumId w:val="8"/>
  </w:num>
  <w:num w:numId="84">
    <w:abstractNumId w:val="258"/>
  </w:num>
  <w:num w:numId="85">
    <w:abstractNumId w:val="43"/>
  </w:num>
  <w:num w:numId="86">
    <w:abstractNumId w:val="106"/>
  </w:num>
  <w:num w:numId="87">
    <w:abstractNumId w:val="53"/>
  </w:num>
  <w:num w:numId="88">
    <w:abstractNumId w:val="112"/>
  </w:num>
  <w:num w:numId="89">
    <w:abstractNumId w:val="102"/>
  </w:num>
  <w:num w:numId="90">
    <w:abstractNumId w:val="185"/>
  </w:num>
  <w:num w:numId="91">
    <w:abstractNumId w:val="202"/>
  </w:num>
  <w:num w:numId="92">
    <w:abstractNumId w:val="42"/>
  </w:num>
  <w:num w:numId="93">
    <w:abstractNumId w:val="257"/>
  </w:num>
  <w:num w:numId="94">
    <w:abstractNumId w:val="223"/>
  </w:num>
  <w:num w:numId="95">
    <w:abstractNumId w:val="117"/>
  </w:num>
  <w:num w:numId="96">
    <w:abstractNumId w:val="247"/>
  </w:num>
  <w:num w:numId="97">
    <w:abstractNumId w:val="190"/>
  </w:num>
  <w:num w:numId="98">
    <w:abstractNumId w:val="51"/>
  </w:num>
  <w:num w:numId="99">
    <w:abstractNumId w:val="171"/>
  </w:num>
  <w:num w:numId="100">
    <w:abstractNumId w:val="266"/>
  </w:num>
  <w:num w:numId="101">
    <w:abstractNumId w:val="57"/>
  </w:num>
  <w:num w:numId="102">
    <w:abstractNumId w:val="39"/>
  </w:num>
  <w:num w:numId="103">
    <w:abstractNumId w:val="79"/>
  </w:num>
  <w:num w:numId="104">
    <w:abstractNumId w:val="29"/>
  </w:num>
  <w:num w:numId="105">
    <w:abstractNumId w:val="67"/>
  </w:num>
  <w:num w:numId="106">
    <w:abstractNumId w:val="54"/>
  </w:num>
  <w:num w:numId="107">
    <w:abstractNumId w:val="95"/>
  </w:num>
  <w:num w:numId="108">
    <w:abstractNumId w:val="261"/>
  </w:num>
  <w:num w:numId="109">
    <w:abstractNumId w:val="253"/>
  </w:num>
  <w:num w:numId="110">
    <w:abstractNumId w:val="18"/>
  </w:num>
  <w:num w:numId="111">
    <w:abstractNumId w:val="80"/>
  </w:num>
  <w:num w:numId="112">
    <w:abstractNumId w:val="5"/>
  </w:num>
  <w:num w:numId="113">
    <w:abstractNumId w:val="236"/>
  </w:num>
  <w:num w:numId="114">
    <w:abstractNumId w:val="74"/>
  </w:num>
  <w:num w:numId="115">
    <w:abstractNumId w:val="149"/>
  </w:num>
  <w:num w:numId="116">
    <w:abstractNumId w:val="131"/>
  </w:num>
  <w:num w:numId="117">
    <w:abstractNumId w:val="63"/>
  </w:num>
  <w:num w:numId="118">
    <w:abstractNumId w:val="180"/>
  </w:num>
  <w:num w:numId="119">
    <w:abstractNumId w:val="200"/>
  </w:num>
  <w:num w:numId="120">
    <w:abstractNumId w:val="133"/>
  </w:num>
  <w:num w:numId="121">
    <w:abstractNumId w:val="118"/>
  </w:num>
  <w:num w:numId="122">
    <w:abstractNumId w:val="188"/>
  </w:num>
  <w:num w:numId="123">
    <w:abstractNumId w:val="260"/>
  </w:num>
  <w:num w:numId="124">
    <w:abstractNumId w:val="50"/>
  </w:num>
  <w:num w:numId="125">
    <w:abstractNumId w:val="210"/>
  </w:num>
  <w:num w:numId="126">
    <w:abstractNumId w:val="192"/>
  </w:num>
  <w:num w:numId="127">
    <w:abstractNumId w:val="263"/>
  </w:num>
  <w:num w:numId="128">
    <w:abstractNumId w:val="197"/>
  </w:num>
  <w:num w:numId="129">
    <w:abstractNumId w:val="11"/>
  </w:num>
  <w:num w:numId="130">
    <w:abstractNumId w:val="20"/>
  </w:num>
  <w:num w:numId="131">
    <w:abstractNumId w:val="12"/>
  </w:num>
  <w:num w:numId="132">
    <w:abstractNumId w:val="114"/>
  </w:num>
  <w:num w:numId="133">
    <w:abstractNumId w:val="150"/>
  </w:num>
  <w:num w:numId="134">
    <w:abstractNumId w:val="98"/>
  </w:num>
  <w:num w:numId="135">
    <w:abstractNumId w:val="60"/>
  </w:num>
  <w:num w:numId="136">
    <w:abstractNumId w:val="279"/>
  </w:num>
  <w:num w:numId="137">
    <w:abstractNumId w:val="27"/>
  </w:num>
  <w:num w:numId="138">
    <w:abstractNumId w:val="73"/>
  </w:num>
  <w:num w:numId="139">
    <w:abstractNumId w:val="222"/>
  </w:num>
  <w:num w:numId="140">
    <w:abstractNumId w:val="122"/>
  </w:num>
  <w:num w:numId="141">
    <w:abstractNumId w:val="15"/>
  </w:num>
  <w:num w:numId="142">
    <w:abstractNumId w:val="137"/>
  </w:num>
  <w:num w:numId="143">
    <w:abstractNumId w:val="10"/>
  </w:num>
  <w:num w:numId="144">
    <w:abstractNumId w:val="155"/>
  </w:num>
  <w:num w:numId="145">
    <w:abstractNumId w:val="242"/>
  </w:num>
  <w:num w:numId="146">
    <w:abstractNumId w:val="61"/>
  </w:num>
  <w:num w:numId="147">
    <w:abstractNumId w:val="238"/>
  </w:num>
  <w:num w:numId="148">
    <w:abstractNumId w:val="147"/>
  </w:num>
  <w:num w:numId="149">
    <w:abstractNumId w:val="194"/>
  </w:num>
  <w:num w:numId="150">
    <w:abstractNumId w:val="25"/>
  </w:num>
  <w:num w:numId="151">
    <w:abstractNumId w:val="70"/>
  </w:num>
  <w:num w:numId="152">
    <w:abstractNumId w:val="159"/>
  </w:num>
  <w:num w:numId="153">
    <w:abstractNumId w:val="288"/>
  </w:num>
  <w:num w:numId="154">
    <w:abstractNumId w:val="225"/>
  </w:num>
  <w:num w:numId="155">
    <w:abstractNumId w:val="72"/>
  </w:num>
  <w:num w:numId="156">
    <w:abstractNumId w:val="78"/>
  </w:num>
  <w:num w:numId="157">
    <w:abstractNumId w:val="277"/>
  </w:num>
  <w:num w:numId="158">
    <w:abstractNumId w:val="228"/>
  </w:num>
  <w:num w:numId="159">
    <w:abstractNumId w:val="186"/>
  </w:num>
  <w:num w:numId="160">
    <w:abstractNumId w:val="59"/>
  </w:num>
  <w:num w:numId="161">
    <w:abstractNumId w:val="68"/>
  </w:num>
  <w:num w:numId="162">
    <w:abstractNumId w:val="211"/>
  </w:num>
  <w:num w:numId="163">
    <w:abstractNumId w:val="111"/>
  </w:num>
  <w:num w:numId="164">
    <w:abstractNumId w:val="84"/>
  </w:num>
  <w:num w:numId="165">
    <w:abstractNumId w:val="107"/>
  </w:num>
  <w:num w:numId="166">
    <w:abstractNumId w:val="206"/>
  </w:num>
  <w:num w:numId="167">
    <w:abstractNumId w:val="16"/>
  </w:num>
  <w:num w:numId="168">
    <w:abstractNumId w:val="143"/>
  </w:num>
  <w:num w:numId="169">
    <w:abstractNumId w:val="240"/>
  </w:num>
  <w:num w:numId="170">
    <w:abstractNumId w:val="7"/>
  </w:num>
  <w:num w:numId="171">
    <w:abstractNumId w:val="136"/>
  </w:num>
  <w:num w:numId="172">
    <w:abstractNumId w:val="289"/>
  </w:num>
  <w:num w:numId="173">
    <w:abstractNumId w:val="153"/>
  </w:num>
  <w:num w:numId="174">
    <w:abstractNumId w:val="31"/>
  </w:num>
  <w:num w:numId="175">
    <w:abstractNumId w:val="28"/>
  </w:num>
  <w:num w:numId="176">
    <w:abstractNumId w:val="217"/>
  </w:num>
  <w:num w:numId="177">
    <w:abstractNumId w:val="231"/>
  </w:num>
  <w:num w:numId="178">
    <w:abstractNumId w:val="77"/>
  </w:num>
  <w:num w:numId="179">
    <w:abstractNumId w:val="254"/>
  </w:num>
  <w:num w:numId="180">
    <w:abstractNumId w:val="52"/>
  </w:num>
  <w:num w:numId="181">
    <w:abstractNumId w:val="37"/>
  </w:num>
  <w:num w:numId="182">
    <w:abstractNumId w:val="94"/>
  </w:num>
  <w:num w:numId="183">
    <w:abstractNumId w:val="4"/>
  </w:num>
  <w:num w:numId="184">
    <w:abstractNumId w:val="48"/>
  </w:num>
  <w:num w:numId="185">
    <w:abstractNumId w:val="0"/>
  </w:num>
  <w:num w:numId="186">
    <w:abstractNumId w:val="256"/>
  </w:num>
  <w:num w:numId="187">
    <w:abstractNumId w:val="148"/>
  </w:num>
  <w:num w:numId="188">
    <w:abstractNumId w:val="219"/>
  </w:num>
  <w:num w:numId="189">
    <w:abstractNumId w:val="268"/>
  </w:num>
  <w:num w:numId="190">
    <w:abstractNumId w:val="272"/>
  </w:num>
  <w:num w:numId="191">
    <w:abstractNumId w:val="251"/>
  </w:num>
  <w:num w:numId="192">
    <w:abstractNumId w:val="174"/>
  </w:num>
  <w:num w:numId="193">
    <w:abstractNumId w:val="23"/>
  </w:num>
  <w:num w:numId="194">
    <w:abstractNumId w:val="267"/>
  </w:num>
  <w:num w:numId="195">
    <w:abstractNumId w:val="158"/>
  </w:num>
  <w:num w:numId="196">
    <w:abstractNumId w:val="168"/>
  </w:num>
  <w:num w:numId="197">
    <w:abstractNumId w:val="93"/>
  </w:num>
  <w:num w:numId="198">
    <w:abstractNumId w:val="134"/>
  </w:num>
  <w:num w:numId="199">
    <w:abstractNumId w:val="76"/>
  </w:num>
  <w:num w:numId="200">
    <w:abstractNumId w:val="109"/>
  </w:num>
  <w:num w:numId="201">
    <w:abstractNumId w:val="205"/>
  </w:num>
  <w:num w:numId="202">
    <w:abstractNumId w:val="284"/>
  </w:num>
  <w:num w:numId="203">
    <w:abstractNumId w:val="175"/>
  </w:num>
  <w:num w:numId="204">
    <w:abstractNumId w:val="230"/>
  </w:num>
  <w:num w:numId="205">
    <w:abstractNumId w:val="208"/>
  </w:num>
  <w:num w:numId="206">
    <w:abstractNumId w:val="191"/>
  </w:num>
  <w:num w:numId="207">
    <w:abstractNumId w:val="119"/>
  </w:num>
  <w:num w:numId="208">
    <w:abstractNumId w:val="264"/>
  </w:num>
  <w:num w:numId="209">
    <w:abstractNumId w:val="46"/>
  </w:num>
  <w:num w:numId="210">
    <w:abstractNumId w:val="83"/>
  </w:num>
  <w:num w:numId="211">
    <w:abstractNumId w:val="195"/>
  </w:num>
  <w:num w:numId="212">
    <w:abstractNumId w:val="220"/>
  </w:num>
  <w:num w:numId="213">
    <w:abstractNumId w:val="255"/>
  </w:num>
  <w:num w:numId="214">
    <w:abstractNumId w:val="115"/>
  </w:num>
  <w:num w:numId="215">
    <w:abstractNumId w:val="182"/>
  </w:num>
  <w:num w:numId="216">
    <w:abstractNumId w:val="204"/>
  </w:num>
  <w:num w:numId="217">
    <w:abstractNumId w:val="33"/>
  </w:num>
  <w:num w:numId="218">
    <w:abstractNumId w:val="262"/>
  </w:num>
  <w:num w:numId="219">
    <w:abstractNumId w:val="157"/>
  </w:num>
  <w:num w:numId="220">
    <w:abstractNumId w:val="278"/>
  </w:num>
  <w:num w:numId="221">
    <w:abstractNumId w:val="285"/>
  </w:num>
  <w:num w:numId="222">
    <w:abstractNumId w:val="89"/>
  </w:num>
  <w:num w:numId="223">
    <w:abstractNumId w:val="128"/>
  </w:num>
  <w:num w:numId="224">
    <w:abstractNumId w:val="276"/>
  </w:num>
  <w:num w:numId="225">
    <w:abstractNumId w:val="21"/>
  </w:num>
  <w:num w:numId="226">
    <w:abstractNumId w:val="239"/>
  </w:num>
  <w:num w:numId="227">
    <w:abstractNumId w:val="224"/>
  </w:num>
  <w:num w:numId="228">
    <w:abstractNumId w:val="69"/>
  </w:num>
  <w:num w:numId="229">
    <w:abstractNumId w:val="3"/>
  </w:num>
  <w:num w:numId="230">
    <w:abstractNumId w:val="85"/>
  </w:num>
  <w:num w:numId="231">
    <w:abstractNumId w:val="138"/>
  </w:num>
  <w:num w:numId="232">
    <w:abstractNumId w:val="214"/>
  </w:num>
  <w:num w:numId="233">
    <w:abstractNumId w:val="259"/>
  </w:num>
  <w:num w:numId="234">
    <w:abstractNumId w:val="140"/>
  </w:num>
  <w:num w:numId="235">
    <w:abstractNumId w:val="162"/>
  </w:num>
  <w:num w:numId="236">
    <w:abstractNumId w:val="161"/>
  </w:num>
  <w:num w:numId="237">
    <w:abstractNumId w:val="38"/>
  </w:num>
  <w:num w:numId="238">
    <w:abstractNumId w:val="235"/>
  </w:num>
  <w:num w:numId="239">
    <w:abstractNumId w:val="189"/>
  </w:num>
  <w:num w:numId="240">
    <w:abstractNumId w:val="269"/>
  </w:num>
  <w:num w:numId="241">
    <w:abstractNumId w:val="227"/>
  </w:num>
  <w:num w:numId="242">
    <w:abstractNumId w:val="203"/>
  </w:num>
  <w:num w:numId="243">
    <w:abstractNumId w:val="96"/>
  </w:num>
  <w:num w:numId="244">
    <w:abstractNumId w:val="187"/>
  </w:num>
  <w:num w:numId="245">
    <w:abstractNumId w:val="24"/>
  </w:num>
  <w:num w:numId="246">
    <w:abstractNumId w:val="13"/>
  </w:num>
  <w:num w:numId="247">
    <w:abstractNumId w:val="237"/>
  </w:num>
  <w:num w:numId="248">
    <w:abstractNumId w:val="17"/>
  </w:num>
  <w:num w:numId="249">
    <w:abstractNumId w:val="213"/>
  </w:num>
  <w:num w:numId="250">
    <w:abstractNumId w:val="92"/>
  </w:num>
  <w:num w:numId="251">
    <w:abstractNumId w:val="103"/>
  </w:num>
  <w:num w:numId="252">
    <w:abstractNumId w:val="145"/>
  </w:num>
  <w:num w:numId="253">
    <w:abstractNumId w:val="201"/>
  </w:num>
  <w:num w:numId="254">
    <w:abstractNumId w:val="167"/>
  </w:num>
  <w:num w:numId="255">
    <w:abstractNumId w:val="88"/>
  </w:num>
  <w:num w:numId="256">
    <w:abstractNumId w:val="221"/>
  </w:num>
  <w:num w:numId="257">
    <w:abstractNumId w:val="130"/>
  </w:num>
  <w:num w:numId="258">
    <w:abstractNumId w:val="120"/>
  </w:num>
  <w:num w:numId="259">
    <w:abstractNumId w:val="82"/>
  </w:num>
  <w:num w:numId="260">
    <w:abstractNumId w:val="169"/>
  </w:num>
  <w:num w:numId="261">
    <w:abstractNumId w:val="234"/>
  </w:num>
  <w:num w:numId="262">
    <w:abstractNumId w:val="249"/>
  </w:num>
  <w:num w:numId="263">
    <w:abstractNumId w:val="56"/>
  </w:num>
  <w:num w:numId="264">
    <w:abstractNumId w:val="273"/>
  </w:num>
  <w:num w:numId="265">
    <w:abstractNumId w:val="252"/>
  </w:num>
  <w:num w:numId="266">
    <w:abstractNumId w:val="22"/>
  </w:num>
  <w:num w:numId="267">
    <w:abstractNumId w:val="216"/>
  </w:num>
  <w:num w:numId="268">
    <w:abstractNumId w:val="141"/>
  </w:num>
  <w:num w:numId="269">
    <w:abstractNumId w:val="116"/>
  </w:num>
  <w:num w:numId="270">
    <w:abstractNumId w:val="47"/>
  </w:num>
  <w:num w:numId="271">
    <w:abstractNumId w:val="32"/>
  </w:num>
  <w:num w:numId="272">
    <w:abstractNumId w:val="156"/>
  </w:num>
  <w:num w:numId="273">
    <w:abstractNumId w:val="207"/>
  </w:num>
  <w:num w:numId="274">
    <w:abstractNumId w:val="45"/>
  </w:num>
  <w:num w:numId="275">
    <w:abstractNumId w:val="274"/>
  </w:num>
  <w:num w:numId="276">
    <w:abstractNumId w:val="91"/>
  </w:num>
  <w:num w:numId="277">
    <w:abstractNumId w:val="132"/>
  </w:num>
  <w:num w:numId="278">
    <w:abstractNumId w:val="125"/>
  </w:num>
  <w:num w:numId="279">
    <w:abstractNumId w:val="34"/>
  </w:num>
  <w:num w:numId="280">
    <w:abstractNumId w:val="166"/>
  </w:num>
  <w:num w:numId="281">
    <w:abstractNumId w:val="218"/>
  </w:num>
  <w:num w:numId="282">
    <w:abstractNumId w:val="151"/>
  </w:num>
  <w:num w:numId="283">
    <w:abstractNumId w:val="123"/>
  </w:num>
  <w:num w:numId="284">
    <w:abstractNumId w:val="58"/>
  </w:num>
  <w:num w:numId="285">
    <w:abstractNumId w:val="172"/>
  </w:num>
  <w:num w:numId="286">
    <w:abstractNumId w:val="65"/>
  </w:num>
  <w:num w:numId="287">
    <w:abstractNumId w:val="124"/>
  </w:num>
  <w:num w:numId="288">
    <w:abstractNumId w:val="181"/>
  </w:num>
  <w:num w:numId="289">
    <w:abstractNumId w:val="160"/>
  </w:num>
  <w:num w:numId="290">
    <w:abstractNumId w:val="17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30"/>
  <w:embedSystemFonts/>
  <w:bordersDoNotSurroundHeader w:val="0"/>
  <w:bordersDoNotSurroundFooter w:val="0"/>
  <w:hideSpellingErrors/>
  <w:hideGrammaticalErrors/>
  <w:trackRevisions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YzFlZDMyOTI0ZmFmNzViZjE3ODFmZWZkMGE2MzFkNGMifQ=="/>
  </w:docVars>
  <w:rsids>
    <w:rsidRoot w:val="008F6927"/>
    <w:rsid w:val="00000E24"/>
    <w:rsid w:val="00002D65"/>
    <w:rsid w:val="00003B68"/>
    <w:rsid w:val="0000520D"/>
    <w:rsid w:val="000107EF"/>
    <w:rsid w:val="000127AC"/>
    <w:rsid w:val="000263E9"/>
    <w:rsid w:val="00026504"/>
    <w:rsid w:val="0003317E"/>
    <w:rsid w:val="0003463A"/>
    <w:rsid w:val="00037BDE"/>
    <w:rsid w:val="00040423"/>
    <w:rsid w:val="00040CCC"/>
    <w:rsid w:val="0004146F"/>
    <w:rsid w:val="00043C1A"/>
    <w:rsid w:val="00047E6B"/>
    <w:rsid w:val="00051B0A"/>
    <w:rsid w:val="000639EB"/>
    <w:rsid w:val="00064E53"/>
    <w:rsid w:val="00064FB6"/>
    <w:rsid w:val="000704CA"/>
    <w:rsid w:val="000706E9"/>
    <w:rsid w:val="000776E1"/>
    <w:rsid w:val="00082530"/>
    <w:rsid w:val="00085F76"/>
    <w:rsid w:val="00093F24"/>
    <w:rsid w:val="000975FF"/>
    <w:rsid w:val="000A06F3"/>
    <w:rsid w:val="000A62AE"/>
    <w:rsid w:val="000B4E05"/>
    <w:rsid w:val="000B6DF4"/>
    <w:rsid w:val="000C0488"/>
    <w:rsid w:val="000C0AB9"/>
    <w:rsid w:val="000C5F0C"/>
    <w:rsid w:val="000C7254"/>
    <w:rsid w:val="000D0E80"/>
    <w:rsid w:val="000D5B7D"/>
    <w:rsid w:val="000D6A95"/>
    <w:rsid w:val="000E01AC"/>
    <w:rsid w:val="000E5EFC"/>
    <w:rsid w:val="000F45EF"/>
    <w:rsid w:val="000F46AF"/>
    <w:rsid w:val="00101361"/>
    <w:rsid w:val="001141FB"/>
    <w:rsid w:val="00116CB5"/>
    <w:rsid w:val="00121A68"/>
    <w:rsid w:val="00122636"/>
    <w:rsid w:val="001378BF"/>
    <w:rsid w:val="0014137C"/>
    <w:rsid w:val="00141D63"/>
    <w:rsid w:val="0014261B"/>
    <w:rsid w:val="001426F2"/>
    <w:rsid w:val="00145CFF"/>
    <w:rsid w:val="0014675D"/>
    <w:rsid w:val="00146F04"/>
    <w:rsid w:val="00147497"/>
    <w:rsid w:val="00147F47"/>
    <w:rsid w:val="00152DB1"/>
    <w:rsid w:val="00154C15"/>
    <w:rsid w:val="001661ED"/>
    <w:rsid w:val="00167C12"/>
    <w:rsid w:val="00174A89"/>
    <w:rsid w:val="00174C00"/>
    <w:rsid w:val="00177BF8"/>
    <w:rsid w:val="00181F03"/>
    <w:rsid w:val="00185F67"/>
    <w:rsid w:val="001935BE"/>
    <w:rsid w:val="001A6539"/>
    <w:rsid w:val="001B262C"/>
    <w:rsid w:val="001B3FEE"/>
    <w:rsid w:val="001C3076"/>
    <w:rsid w:val="001C3450"/>
    <w:rsid w:val="001C6350"/>
    <w:rsid w:val="001E5E6D"/>
    <w:rsid w:val="001E73C7"/>
    <w:rsid w:val="001F0B93"/>
    <w:rsid w:val="001F6FCA"/>
    <w:rsid w:val="001F799D"/>
    <w:rsid w:val="0020175E"/>
    <w:rsid w:val="00203F72"/>
    <w:rsid w:val="002055C4"/>
    <w:rsid w:val="00205EF7"/>
    <w:rsid w:val="00206432"/>
    <w:rsid w:val="002064A5"/>
    <w:rsid w:val="00207F52"/>
    <w:rsid w:val="0021037A"/>
    <w:rsid w:val="002111A5"/>
    <w:rsid w:val="00212392"/>
    <w:rsid w:val="0021288D"/>
    <w:rsid w:val="0021425F"/>
    <w:rsid w:val="002149E7"/>
    <w:rsid w:val="00216A51"/>
    <w:rsid w:val="00217622"/>
    <w:rsid w:val="0022078E"/>
    <w:rsid w:val="002305B2"/>
    <w:rsid w:val="00257B4F"/>
    <w:rsid w:val="00262B77"/>
    <w:rsid w:val="002670D1"/>
    <w:rsid w:val="002729E3"/>
    <w:rsid w:val="00277541"/>
    <w:rsid w:val="002972FD"/>
    <w:rsid w:val="002A35FD"/>
    <w:rsid w:val="002A5BE5"/>
    <w:rsid w:val="002B48BA"/>
    <w:rsid w:val="002C578E"/>
    <w:rsid w:val="002C73F3"/>
    <w:rsid w:val="002C740C"/>
    <w:rsid w:val="002D1DC1"/>
    <w:rsid w:val="002D2C23"/>
    <w:rsid w:val="002D5273"/>
    <w:rsid w:val="002E06BA"/>
    <w:rsid w:val="002E24B0"/>
    <w:rsid w:val="002E67C6"/>
    <w:rsid w:val="002E7B5C"/>
    <w:rsid w:val="002F0415"/>
    <w:rsid w:val="002F37B6"/>
    <w:rsid w:val="00300292"/>
    <w:rsid w:val="00304B65"/>
    <w:rsid w:val="003115FB"/>
    <w:rsid w:val="003133B6"/>
    <w:rsid w:val="003152CD"/>
    <w:rsid w:val="003175B1"/>
    <w:rsid w:val="00320419"/>
    <w:rsid w:val="003214CB"/>
    <w:rsid w:val="00321917"/>
    <w:rsid w:val="00327F95"/>
    <w:rsid w:val="00334A69"/>
    <w:rsid w:val="00337676"/>
    <w:rsid w:val="00340631"/>
    <w:rsid w:val="00341E71"/>
    <w:rsid w:val="00346CEB"/>
    <w:rsid w:val="00360100"/>
    <w:rsid w:val="0036128E"/>
    <w:rsid w:val="00365E83"/>
    <w:rsid w:val="00367200"/>
    <w:rsid w:val="00375C5C"/>
    <w:rsid w:val="003816EC"/>
    <w:rsid w:val="003857FA"/>
    <w:rsid w:val="0038610A"/>
    <w:rsid w:val="00394101"/>
    <w:rsid w:val="00396E53"/>
    <w:rsid w:val="003A45EE"/>
    <w:rsid w:val="003A633D"/>
    <w:rsid w:val="003B11F6"/>
    <w:rsid w:val="003B238B"/>
    <w:rsid w:val="003B67EA"/>
    <w:rsid w:val="003B6EDC"/>
    <w:rsid w:val="003E4FE1"/>
    <w:rsid w:val="003E67AA"/>
    <w:rsid w:val="003F0A7A"/>
    <w:rsid w:val="003F1353"/>
    <w:rsid w:val="003F312D"/>
    <w:rsid w:val="004076FE"/>
    <w:rsid w:val="00412488"/>
    <w:rsid w:val="00414AAC"/>
    <w:rsid w:val="00415835"/>
    <w:rsid w:val="004369CE"/>
    <w:rsid w:val="0044048C"/>
    <w:rsid w:val="00457750"/>
    <w:rsid w:val="004611EF"/>
    <w:rsid w:val="00464B4B"/>
    <w:rsid w:val="00465D31"/>
    <w:rsid w:val="004672C9"/>
    <w:rsid w:val="004679B4"/>
    <w:rsid w:val="004720F8"/>
    <w:rsid w:val="00483562"/>
    <w:rsid w:val="00485648"/>
    <w:rsid w:val="00486217"/>
    <w:rsid w:val="0048777F"/>
    <w:rsid w:val="004924C1"/>
    <w:rsid w:val="00495FF7"/>
    <w:rsid w:val="0049629B"/>
    <w:rsid w:val="0049718D"/>
    <w:rsid w:val="004A0BF6"/>
    <w:rsid w:val="004A7826"/>
    <w:rsid w:val="004B0439"/>
    <w:rsid w:val="004B1D20"/>
    <w:rsid w:val="004B2C6B"/>
    <w:rsid w:val="004B4FB3"/>
    <w:rsid w:val="004B6413"/>
    <w:rsid w:val="004B7F5E"/>
    <w:rsid w:val="004C557F"/>
    <w:rsid w:val="004C6317"/>
    <w:rsid w:val="004C6BF8"/>
    <w:rsid w:val="004D5BCF"/>
    <w:rsid w:val="004D65EA"/>
    <w:rsid w:val="004E1738"/>
    <w:rsid w:val="004E3324"/>
    <w:rsid w:val="004E3CBC"/>
    <w:rsid w:val="004E564E"/>
    <w:rsid w:val="004E6C63"/>
    <w:rsid w:val="004F3922"/>
    <w:rsid w:val="004F5FAA"/>
    <w:rsid w:val="004F7E54"/>
    <w:rsid w:val="005102AB"/>
    <w:rsid w:val="005336A4"/>
    <w:rsid w:val="00533CB9"/>
    <w:rsid w:val="00536758"/>
    <w:rsid w:val="00541538"/>
    <w:rsid w:val="00541E25"/>
    <w:rsid w:val="00547B7F"/>
    <w:rsid w:val="00552CDC"/>
    <w:rsid w:val="00555CBF"/>
    <w:rsid w:val="005566CF"/>
    <w:rsid w:val="00564A75"/>
    <w:rsid w:val="005669E8"/>
    <w:rsid w:val="00572DAA"/>
    <w:rsid w:val="005733DD"/>
    <w:rsid w:val="00574701"/>
    <w:rsid w:val="005769FC"/>
    <w:rsid w:val="00580401"/>
    <w:rsid w:val="005815B2"/>
    <w:rsid w:val="00581BEE"/>
    <w:rsid w:val="00582FEC"/>
    <w:rsid w:val="0059023B"/>
    <w:rsid w:val="00590674"/>
    <w:rsid w:val="00590FDF"/>
    <w:rsid w:val="00591163"/>
    <w:rsid w:val="00594203"/>
    <w:rsid w:val="005A0305"/>
    <w:rsid w:val="005A17D5"/>
    <w:rsid w:val="005A2D9B"/>
    <w:rsid w:val="005A7BB5"/>
    <w:rsid w:val="005C1358"/>
    <w:rsid w:val="005C4D93"/>
    <w:rsid w:val="005C5A46"/>
    <w:rsid w:val="005D6D60"/>
    <w:rsid w:val="005E09DF"/>
    <w:rsid w:val="005E0D34"/>
    <w:rsid w:val="005E1E95"/>
    <w:rsid w:val="005E2560"/>
    <w:rsid w:val="005E37AA"/>
    <w:rsid w:val="005F0387"/>
    <w:rsid w:val="005F0CD9"/>
    <w:rsid w:val="005F114C"/>
    <w:rsid w:val="005F208E"/>
    <w:rsid w:val="005F450E"/>
    <w:rsid w:val="00600C67"/>
    <w:rsid w:val="006025E4"/>
    <w:rsid w:val="00605578"/>
    <w:rsid w:val="00605E99"/>
    <w:rsid w:val="00617057"/>
    <w:rsid w:val="0061711B"/>
    <w:rsid w:val="00627A5E"/>
    <w:rsid w:val="00637923"/>
    <w:rsid w:val="006409FF"/>
    <w:rsid w:val="006414AB"/>
    <w:rsid w:val="00644018"/>
    <w:rsid w:val="00652AB0"/>
    <w:rsid w:val="00661408"/>
    <w:rsid w:val="0066215E"/>
    <w:rsid w:val="006661BB"/>
    <w:rsid w:val="00666A0F"/>
    <w:rsid w:val="00666B87"/>
    <w:rsid w:val="0067175A"/>
    <w:rsid w:val="00673676"/>
    <w:rsid w:val="00674AB1"/>
    <w:rsid w:val="00677F86"/>
    <w:rsid w:val="00684DC0"/>
    <w:rsid w:val="00692C8A"/>
    <w:rsid w:val="006A7EE5"/>
    <w:rsid w:val="006B3DF4"/>
    <w:rsid w:val="006C097C"/>
    <w:rsid w:val="006D3242"/>
    <w:rsid w:val="006D5196"/>
    <w:rsid w:val="006F6927"/>
    <w:rsid w:val="006F6DC4"/>
    <w:rsid w:val="00700B32"/>
    <w:rsid w:val="00700D5F"/>
    <w:rsid w:val="00705F84"/>
    <w:rsid w:val="00712B3E"/>
    <w:rsid w:val="0071465E"/>
    <w:rsid w:val="00714DB2"/>
    <w:rsid w:val="00717342"/>
    <w:rsid w:val="00722968"/>
    <w:rsid w:val="00731DB9"/>
    <w:rsid w:val="00736C7E"/>
    <w:rsid w:val="007427DC"/>
    <w:rsid w:val="00746EA1"/>
    <w:rsid w:val="00756DC2"/>
    <w:rsid w:val="00762465"/>
    <w:rsid w:val="00762BF9"/>
    <w:rsid w:val="007652EF"/>
    <w:rsid w:val="0076631E"/>
    <w:rsid w:val="0077056E"/>
    <w:rsid w:val="00776C3B"/>
    <w:rsid w:val="00784216"/>
    <w:rsid w:val="00787BFB"/>
    <w:rsid w:val="007928D4"/>
    <w:rsid w:val="00793494"/>
    <w:rsid w:val="007A04F1"/>
    <w:rsid w:val="007A3AEC"/>
    <w:rsid w:val="007A42ED"/>
    <w:rsid w:val="007B330C"/>
    <w:rsid w:val="007C536A"/>
    <w:rsid w:val="007C5417"/>
    <w:rsid w:val="007D7785"/>
    <w:rsid w:val="007E23FC"/>
    <w:rsid w:val="007E376A"/>
    <w:rsid w:val="007E605A"/>
    <w:rsid w:val="007F5899"/>
    <w:rsid w:val="008045FE"/>
    <w:rsid w:val="00806202"/>
    <w:rsid w:val="008100E1"/>
    <w:rsid w:val="00814DBB"/>
    <w:rsid w:val="00817393"/>
    <w:rsid w:val="00817A8A"/>
    <w:rsid w:val="00832711"/>
    <w:rsid w:val="0083310B"/>
    <w:rsid w:val="00833C02"/>
    <w:rsid w:val="0083410F"/>
    <w:rsid w:val="0083723D"/>
    <w:rsid w:val="00837912"/>
    <w:rsid w:val="008411B8"/>
    <w:rsid w:val="00843E66"/>
    <w:rsid w:val="0084708C"/>
    <w:rsid w:val="0085150F"/>
    <w:rsid w:val="00854632"/>
    <w:rsid w:val="00857EA5"/>
    <w:rsid w:val="00860B8D"/>
    <w:rsid w:val="0086452A"/>
    <w:rsid w:val="00870DB8"/>
    <w:rsid w:val="0087340B"/>
    <w:rsid w:val="00875B32"/>
    <w:rsid w:val="00876627"/>
    <w:rsid w:val="0087673F"/>
    <w:rsid w:val="00877114"/>
    <w:rsid w:val="00880BCF"/>
    <w:rsid w:val="00885DB2"/>
    <w:rsid w:val="00886631"/>
    <w:rsid w:val="0089335C"/>
    <w:rsid w:val="008A4BCE"/>
    <w:rsid w:val="008B0875"/>
    <w:rsid w:val="008B24AC"/>
    <w:rsid w:val="008C0889"/>
    <w:rsid w:val="008C3435"/>
    <w:rsid w:val="008C5D33"/>
    <w:rsid w:val="008E11F5"/>
    <w:rsid w:val="008E2CF3"/>
    <w:rsid w:val="008E49C4"/>
    <w:rsid w:val="008E75CE"/>
    <w:rsid w:val="008F0F2E"/>
    <w:rsid w:val="008F2777"/>
    <w:rsid w:val="008F4397"/>
    <w:rsid w:val="008F58C1"/>
    <w:rsid w:val="008F6927"/>
    <w:rsid w:val="008F73D7"/>
    <w:rsid w:val="008F763E"/>
    <w:rsid w:val="0090101A"/>
    <w:rsid w:val="00902689"/>
    <w:rsid w:val="00911A60"/>
    <w:rsid w:val="0091208C"/>
    <w:rsid w:val="00914265"/>
    <w:rsid w:val="00923A3E"/>
    <w:rsid w:val="009346DC"/>
    <w:rsid w:val="009373E2"/>
    <w:rsid w:val="009503DF"/>
    <w:rsid w:val="0095069F"/>
    <w:rsid w:val="00952A69"/>
    <w:rsid w:val="009577AD"/>
    <w:rsid w:val="00962AA1"/>
    <w:rsid w:val="00963984"/>
    <w:rsid w:val="00970969"/>
    <w:rsid w:val="00974337"/>
    <w:rsid w:val="009758E1"/>
    <w:rsid w:val="009765B9"/>
    <w:rsid w:val="0098550E"/>
    <w:rsid w:val="009857ED"/>
    <w:rsid w:val="00992CA7"/>
    <w:rsid w:val="0099329A"/>
    <w:rsid w:val="00993A8B"/>
    <w:rsid w:val="009A3ACC"/>
    <w:rsid w:val="009B5066"/>
    <w:rsid w:val="009B733B"/>
    <w:rsid w:val="009C0162"/>
    <w:rsid w:val="009C2615"/>
    <w:rsid w:val="009C3ECB"/>
    <w:rsid w:val="009C433E"/>
    <w:rsid w:val="009C74D2"/>
    <w:rsid w:val="009D088F"/>
    <w:rsid w:val="009D0D96"/>
    <w:rsid w:val="009D6FD3"/>
    <w:rsid w:val="009E07D2"/>
    <w:rsid w:val="009E2867"/>
    <w:rsid w:val="009F26EB"/>
    <w:rsid w:val="009F31E7"/>
    <w:rsid w:val="009F442A"/>
    <w:rsid w:val="00A0571C"/>
    <w:rsid w:val="00A07A25"/>
    <w:rsid w:val="00A13292"/>
    <w:rsid w:val="00A16D90"/>
    <w:rsid w:val="00A221E2"/>
    <w:rsid w:val="00A2402B"/>
    <w:rsid w:val="00A251DF"/>
    <w:rsid w:val="00A4097F"/>
    <w:rsid w:val="00A465C4"/>
    <w:rsid w:val="00A50E9B"/>
    <w:rsid w:val="00A519DF"/>
    <w:rsid w:val="00A53F41"/>
    <w:rsid w:val="00A64A09"/>
    <w:rsid w:val="00A65C3A"/>
    <w:rsid w:val="00A6741D"/>
    <w:rsid w:val="00A76735"/>
    <w:rsid w:val="00A80502"/>
    <w:rsid w:val="00A823E8"/>
    <w:rsid w:val="00A838B2"/>
    <w:rsid w:val="00A8688A"/>
    <w:rsid w:val="00A93AAC"/>
    <w:rsid w:val="00A97A44"/>
    <w:rsid w:val="00AA1DF2"/>
    <w:rsid w:val="00AA274F"/>
    <w:rsid w:val="00AA5F04"/>
    <w:rsid w:val="00AA608C"/>
    <w:rsid w:val="00AA6A9C"/>
    <w:rsid w:val="00AA6C8A"/>
    <w:rsid w:val="00AB2D6E"/>
    <w:rsid w:val="00AB3E34"/>
    <w:rsid w:val="00AB56C6"/>
    <w:rsid w:val="00AB5DFD"/>
    <w:rsid w:val="00AB6EB7"/>
    <w:rsid w:val="00AB72B1"/>
    <w:rsid w:val="00AD5913"/>
    <w:rsid w:val="00AE0489"/>
    <w:rsid w:val="00AE0640"/>
    <w:rsid w:val="00AE1012"/>
    <w:rsid w:val="00AE4FCA"/>
    <w:rsid w:val="00AE758A"/>
    <w:rsid w:val="00AF1A0F"/>
    <w:rsid w:val="00B001EB"/>
    <w:rsid w:val="00B01957"/>
    <w:rsid w:val="00B14AFE"/>
    <w:rsid w:val="00B23958"/>
    <w:rsid w:val="00B3290F"/>
    <w:rsid w:val="00B32C18"/>
    <w:rsid w:val="00B33DB5"/>
    <w:rsid w:val="00B44157"/>
    <w:rsid w:val="00B45C2D"/>
    <w:rsid w:val="00B46332"/>
    <w:rsid w:val="00B463E3"/>
    <w:rsid w:val="00B46F7E"/>
    <w:rsid w:val="00B514B2"/>
    <w:rsid w:val="00B52914"/>
    <w:rsid w:val="00B549C0"/>
    <w:rsid w:val="00B600CE"/>
    <w:rsid w:val="00B63712"/>
    <w:rsid w:val="00B63BA7"/>
    <w:rsid w:val="00B81139"/>
    <w:rsid w:val="00B83216"/>
    <w:rsid w:val="00B8495C"/>
    <w:rsid w:val="00B86960"/>
    <w:rsid w:val="00B93F35"/>
    <w:rsid w:val="00B94438"/>
    <w:rsid w:val="00B9618C"/>
    <w:rsid w:val="00BA6D0D"/>
    <w:rsid w:val="00BB0377"/>
    <w:rsid w:val="00BB0CFC"/>
    <w:rsid w:val="00BB5C29"/>
    <w:rsid w:val="00BB5EC7"/>
    <w:rsid w:val="00BC49E6"/>
    <w:rsid w:val="00BC533B"/>
    <w:rsid w:val="00BD1014"/>
    <w:rsid w:val="00BD126F"/>
    <w:rsid w:val="00BD204F"/>
    <w:rsid w:val="00BD3596"/>
    <w:rsid w:val="00BE5625"/>
    <w:rsid w:val="00BF0E4D"/>
    <w:rsid w:val="00BF34B8"/>
    <w:rsid w:val="00BF508B"/>
    <w:rsid w:val="00BF643E"/>
    <w:rsid w:val="00BF7B09"/>
    <w:rsid w:val="00C01C01"/>
    <w:rsid w:val="00C04B74"/>
    <w:rsid w:val="00C05001"/>
    <w:rsid w:val="00C07D19"/>
    <w:rsid w:val="00C16A3C"/>
    <w:rsid w:val="00C17076"/>
    <w:rsid w:val="00C21552"/>
    <w:rsid w:val="00C2218A"/>
    <w:rsid w:val="00C2230E"/>
    <w:rsid w:val="00C23E5D"/>
    <w:rsid w:val="00C2583E"/>
    <w:rsid w:val="00C27933"/>
    <w:rsid w:val="00C279E5"/>
    <w:rsid w:val="00C32010"/>
    <w:rsid w:val="00C42E9F"/>
    <w:rsid w:val="00C449FD"/>
    <w:rsid w:val="00C45700"/>
    <w:rsid w:val="00C47361"/>
    <w:rsid w:val="00C57524"/>
    <w:rsid w:val="00C61641"/>
    <w:rsid w:val="00C61806"/>
    <w:rsid w:val="00C61EDD"/>
    <w:rsid w:val="00C64389"/>
    <w:rsid w:val="00C649BE"/>
    <w:rsid w:val="00C64D87"/>
    <w:rsid w:val="00C71920"/>
    <w:rsid w:val="00C73DF1"/>
    <w:rsid w:val="00C746ED"/>
    <w:rsid w:val="00C9499C"/>
    <w:rsid w:val="00C95371"/>
    <w:rsid w:val="00C97ECB"/>
    <w:rsid w:val="00C97F98"/>
    <w:rsid w:val="00CA4EE7"/>
    <w:rsid w:val="00CA64AE"/>
    <w:rsid w:val="00CA6AEF"/>
    <w:rsid w:val="00CA73BA"/>
    <w:rsid w:val="00CB7467"/>
    <w:rsid w:val="00CC1F2D"/>
    <w:rsid w:val="00CC27D3"/>
    <w:rsid w:val="00CD181B"/>
    <w:rsid w:val="00CD6F8B"/>
    <w:rsid w:val="00CE32BD"/>
    <w:rsid w:val="00CE40E4"/>
    <w:rsid w:val="00CF0CD3"/>
    <w:rsid w:val="00CF22A4"/>
    <w:rsid w:val="00CF4359"/>
    <w:rsid w:val="00D107CF"/>
    <w:rsid w:val="00D127ED"/>
    <w:rsid w:val="00D1527E"/>
    <w:rsid w:val="00D2017A"/>
    <w:rsid w:val="00D20D08"/>
    <w:rsid w:val="00D231E3"/>
    <w:rsid w:val="00D232D3"/>
    <w:rsid w:val="00D2428A"/>
    <w:rsid w:val="00D24F4D"/>
    <w:rsid w:val="00D32037"/>
    <w:rsid w:val="00D34C3E"/>
    <w:rsid w:val="00D41895"/>
    <w:rsid w:val="00D424BC"/>
    <w:rsid w:val="00D427A6"/>
    <w:rsid w:val="00D51108"/>
    <w:rsid w:val="00D54297"/>
    <w:rsid w:val="00D608BE"/>
    <w:rsid w:val="00D655B5"/>
    <w:rsid w:val="00D65921"/>
    <w:rsid w:val="00D6711A"/>
    <w:rsid w:val="00D7342B"/>
    <w:rsid w:val="00D74214"/>
    <w:rsid w:val="00D747C6"/>
    <w:rsid w:val="00D80D2D"/>
    <w:rsid w:val="00D86148"/>
    <w:rsid w:val="00D86BFC"/>
    <w:rsid w:val="00D87EEA"/>
    <w:rsid w:val="00D94642"/>
    <w:rsid w:val="00D94E3A"/>
    <w:rsid w:val="00D955A4"/>
    <w:rsid w:val="00DA52F5"/>
    <w:rsid w:val="00DB13B7"/>
    <w:rsid w:val="00DB2DAE"/>
    <w:rsid w:val="00DB3289"/>
    <w:rsid w:val="00DB4FD1"/>
    <w:rsid w:val="00DC008F"/>
    <w:rsid w:val="00DC116D"/>
    <w:rsid w:val="00DC677E"/>
    <w:rsid w:val="00DD70E0"/>
    <w:rsid w:val="00DF6632"/>
    <w:rsid w:val="00E01A2F"/>
    <w:rsid w:val="00E06B8C"/>
    <w:rsid w:val="00E07F12"/>
    <w:rsid w:val="00E12382"/>
    <w:rsid w:val="00E12865"/>
    <w:rsid w:val="00E249D4"/>
    <w:rsid w:val="00E25274"/>
    <w:rsid w:val="00E3085C"/>
    <w:rsid w:val="00E321DD"/>
    <w:rsid w:val="00E37164"/>
    <w:rsid w:val="00E40148"/>
    <w:rsid w:val="00E40525"/>
    <w:rsid w:val="00E4055E"/>
    <w:rsid w:val="00E414B9"/>
    <w:rsid w:val="00E43C8E"/>
    <w:rsid w:val="00E50150"/>
    <w:rsid w:val="00E53AF7"/>
    <w:rsid w:val="00E55933"/>
    <w:rsid w:val="00E55A9C"/>
    <w:rsid w:val="00E62448"/>
    <w:rsid w:val="00E642FB"/>
    <w:rsid w:val="00E6641D"/>
    <w:rsid w:val="00E711C5"/>
    <w:rsid w:val="00E720FB"/>
    <w:rsid w:val="00E72B42"/>
    <w:rsid w:val="00E8213D"/>
    <w:rsid w:val="00E84890"/>
    <w:rsid w:val="00E8608D"/>
    <w:rsid w:val="00E86105"/>
    <w:rsid w:val="00EA1E6D"/>
    <w:rsid w:val="00EB34B6"/>
    <w:rsid w:val="00EB409D"/>
    <w:rsid w:val="00EB7E48"/>
    <w:rsid w:val="00EC7B3F"/>
    <w:rsid w:val="00ED5EBE"/>
    <w:rsid w:val="00ED6FC7"/>
    <w:rsid w:val="00EE1B9A"/>
    <w:rsid w:val="00EE3C1B"/>
    <w:rsid w:val="00EE4E70"/>
    <w:rsid w:val="00EE51E9"/>
    <w:rsid w:val="00EE6FD5"/>
    <w:rsid w:val="00F02466"/>
    <w:rsid w:val="00F0640F"/>
    <w:rsid w:val="00F10AF9"/>
    <w:rsid w:val="00F1247F"/>
    <w:rsid w:val="00F14BDE"/>
    <w:rsid w:val="00F204E7"/>
    <w:rsid w:val="00F20CF4"/>
    <w:rsid w:val="00F2162A"/>
    <w:rsid w:val="00F21CDB"/>
    <w:rsid w:val="00F32E6A"/>
    <w:rsid w:val="00F3412A"/>
    <w:rsid w:val="00F37CD9"/>
    <w:rsid w:val="00F5090B"/>
    <w:rsid w:val="00F52789"/>
    <w:rsid w:val="00F54BA5"/>
    <w:rsid w:val="00F54E5F"/>
    <w:rsid w:val="00F55F90"/>
    <w:rsid w:val="00F611DF"/>
    <w:rsid w:val="00F71543"/>
    <w:rsid w:val="00F760D5"/>
    <w:rsid w:val="00F77CD3"/>
    <w:rsid w:val="00F845C8"/>
    <w:rsid w:val="00F9473D"/>
    <w:rsid w:val="00FA0AB2"/>
    <w:rsid w:val="00FA4530"/>
    <w:rsid w:val="00FA662D"/>
    <w:rsid w:val="00FA7045"/>
    <w:rsid w:val="00FB05DC"/>
    <w:rsid w:val="00FD1B92"/>
    <w:rsid w:val="00FD51BF"/>
    <w:rsid w:val="00FD5A01"/>
    <w:rsid w:val="00FD5C1D"/>
    <w:rsid w:val="00FD7206"/>
    <w:rsid w:val="00FE06F6"/>
    <w:rsid w:val="00FE5CA3"/>
    <w:rsid w:val="00FF001E"/>
    <w:rsid w:val="139E1F23"/>
    <w:rsid w:val="15264FB6"/>
    <w:rsid w:val="15E553FB"/>
    <w:rsid w:val="20523600"/>
    <w:rsid w:val="22153100"/>
    <w:rsid w:val="326630DC"/>
    <w:rsid w:val="34F65111"/>
    <w:rsid w:val="3A5D7EE8"/>
    <w:rsid w:val="3AE34A86"/>
    <w:rsid w:val="43D81418"/>
    <w:rsid w:val="58ED44A5"/>
    <w:rsid w:val="5E326D14"/>
    <w:rsid w:val="63E66B5C"/>
    <w:rsid w:val="6AF31C15"/>
    <w:rsid w:val="73F94AB7"/>
    <w:rsid w:val="76197675"/>
    <w:rsid w:val="7B583751"/>
  </w:rsids>
  <m:mathPr>
    <m:mathFont m:val="Cambria Math"/>
    <m:brkBin m:val="before"/>
    <m:brkBinSub m:val="--"/>
    <m:smallFrac m:val="0"/>
    <m:dispDef/>
    <m:lMargin m:val="0"/>
    <m:rMargin m:val="0"/>
    <m:defJc m:val="centerGroup"/>
    <m:wrapIndent m:val="1440"/>
    <m:intLim m:val="subSup"/>
    <m:naryLim m:val="undOvr"/>
  </m:mathPr>
  <w:doNotAutoCompressPictures/>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2"/>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unhideWhenUsed="0" w:uiPriority="0"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qFormat="1" w:unhideWhenUsed="0" w:uiPriority="0" w:semiHidden="0" w:name="Plain Text"/>
    <w:lsdException w:unhideWhenUsed="0" w:uiPriority="0" w:semiHidden="0" w:name="E-mail Signature"/>
    <w:lsdException w:qFormat="1" w:unhideWhenUsed="0"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autoRedefine/>
    <w:qFormat/>
    <w:uiPriority w:val="0"/>
    <w:pPr>
      <w:widowControl w:val="0"/>
      <w:jc w:val="both"/>
    </w:pPr>
    <w:rPr>
      <w:rFonts w:ascii="Cambria" w:hAnsi="Cambria" w:eastAsia="宋体" w:cs="Times New Roman"/>
      <w:kern w:val="2"/>
      <w:sz w:val="21"/>
      <w:szCs w:val="24"/>
      <w:lang w:val="en-US" w:eastAsia="zh-CN" w:bidi="ar-SA"/>
    </w:rPr>
  </w:style>
  <w:style w:type="paragraph" w:styleId="2">
    <w:name w:val="heading 1"/>
    <w:basedOn w:val="1"/>
    <w:next w:val="1"/>
    <w:qFormat/>
    <w:uiPriority w:val="0"/>
    <w:pPr>
      <w:autoSpaceDE w:val="0"/>
      <w:autoSpaceDN w:val="0"/>
      <w:adjustRightInd w:val="0"/>
      <w:jc w:val="center"/>
      <w:outlineLvl w:val="0"/>
    </w:pPr>
    <w:rPr>
      <w:rFonts w:ascii="Arial"/>
      <w:color w:val="FFCC66"/>
      <w:kern w:val="0"/>
      <w:sz w:val="44"/>
      <w:szCs w:val="44"/>
      <w:lang w:val="zh-CN"/>
    </w:rPr>
  </w:style>
  <w:style w:type="paragraph" w:styleId="3">
    <w:name w:val="heading 2"/>
    <w:basedOn w:val="1"/>
    <w:next w:val="1"/>
    <w:autoRedefine/>
    <w:qFormat/>
    <w:uiPriority w:val="0"/>
    <w:pPr>
      <w:autoSpaceDE w:val="0"/>
      <w:autoSpaceDN w:val="0"/>
      <w:adjustRightInd w:val="0"/>
      <w:ind w:left="270" w:hanging="270"/>
      <w:jc w:val="left"/>
      <w:outlineLvl w:val="1"/>
    </w:pPr>
    <w:rPr>
      <w:color w:val="FFFFFF"/>
      <w:kern w:val="0"/>
      <w:sz w:val="32"/>
      <w:szCs w:val="32"/>
      <w:lang w:val="zh-CN"/>
    </w:rPr>
  </w:style>
  <w:style w:type="paragraph" w:styleId="4">
    <w:name w:val="heading 3"/>
    <w:basedOn w:val="1"/>
    <w:next w:val="1"/>
    <w:qFormat/>
    <w:uiPriority w:val="0"/>
    <w:pPr>
      <w:autoSpaceDE w:val="0"/>
      <w:autoSpaceDN w:val="0"/>
      <w:adjustRightInd w:val="0"/>
      <w:ind w:left="585" w:hanging="225"/>
      <w:jc w:val="left"/>
      <w:outlineLvl w:val="2"/>
    </w:pPr>
    <w:rPr>
      <w:color w:val="000000"/>
      <w:kern w:val="0"/>
      <w:sz w:val="28"/>
      <w:szCs w:val="28"/>
      <w:lang w:val="zh-CN"/>
    </w:rPr>
  </w:style>
  <w:style w:type="character" w:default="1" w:styleId="15">
    <w:name w:val="Default Paragraph Font"/>
    <w:autoRedefine/>
    <w:semiHidden/>
    <w:unhideWhenUsed/>
    <w:qFormat/>
    <w:uiPriority w:val="1"/>
  </w:style>
  <w:style w:type="table" w:default="1" w:styleId="13">
    <w:name w:val="Normal Table"/>
    <w:autoRedefine/>
    <w:semiHidden/>
    <w:unhideWhenUsed/>
    <w:qFormat/>
    <w:uiPriority w:val="99"/>
    <w:tblPr>
      <w:tblCellMar>
        <w:top w:w="0" w:type="dxa"/>
        <w:left w:w="108" w:type="dxa"/>
        <w:bottom w:w="0" w:type="dxa"/>
        <w:right w:w="108" w:type="dxa"/>
      </w:tblCellMar>
    </w:tblPr>
  </w:style>
  <w:style w:type="paragraph" w:styleId="5">
    <w:name w:val="Body Text"/>
    <w:basedOn w:val="1"/>
    <w:qFormat/>
    <w:uiPriority w:val="0"/>
    <w:rPr>
      <w:b/>
      <w:sz w:val="30"/>
    </w:rPr>
  </w:style>
  <w:style w:type="paragraph" w:styleId="6">
    <w:name w:val="Body Text Indent"/>
    <w:basedOn w:val="1"/>
    <w:autoRedefine/>
    <w:qFormat/>
    <w:uiPriority w:val="0"/>
    <w:pPr>
      <w:spacing w:after="120"/>
      <w:ind w:left="420" w:leftChars="200"/>
    </w:pPr>
  </w:style>
  <w:style w:type="paragraph" w:styleId="7">
    <w:name w:val="Plain Text"/>
    <w:basedOn w:val="1"/>
    <w:autoRedefine/>
    <w:qFormat/>
    <w:uiPriority w:val="0"/>
    <w:rPr>
      <w:rFonts w:ascii="宋体" w:hAnsi="Courier New"/>
    </w:rPr>
  </w:style>
  <w:style w:type="paragraph" w:styleId="8">
    <w:name w:val="Body Text Indent 2"/>
    <w:basedOn w:val="1"/>
    <w:autoRedefine/>
    <w:qFormat/>
    <w:uiPriority w:val="0"/>
    <w:pPr>
      <w:spacing w:after="120" w:line="480" w:lineRule="auto"/>
      <w:ind w:left="420" w:leftChars="200"/>
    </w:pPr>
  </w:style>
  <w:style w:type="paragraph" w:styleId="9">
    <w:name w:val="Balloon Text"/>
    <w:basedOn w:val="1"/>
    <w:link w:val="21"/>
    <w:autoRedefine/>
    <w:qFormat/>
    <w:uiPriority w:val="0"/>
    <w:rPr>
      <w:rFonts w:ascii="Heiti SC Light" w:eastAsia="Heiti SC Light"/>
      <w:sz w:val="18"/>
      <w:szCs w:val="18"/>
    </w:rPr>
  </w:style>
  <w:style w:type="paragraph" w:styleId="10">
    <w:name w:val="footer"/>
    <w:basedOn w:val="1"/>
    <w:autoRedefine/>
    <w:qFormat/>
    <w:uiPriority w:val="0"/>
    <w:pPr>
      <w:tabs>
        <w:tab w:val="center" w:pos="4153"/>
        <w:tab w:val="right" w:pos="8306"/>
      </w:tabs>
      <w:snapToGrid w:val="0"/>
      <w:jc w:val="left"/>
    </w:pPr>
    <w:rPr>
      <w:sz w:val="18"/>
      <w:szCs w:val="18"/>
    </w:rPr>
  </w:style>
  <w:style w:type="paragraph" w:styleId="11">
    <w:name w:val="header"/>
    <w:basedOn w:val="1"/>
    <w:link w:val="23"/>
    <w:autoRedefine/>
    <w:qFormat/>
    <w:uiPriority w:val="0"/>
    <w:pPr>
      <w:pBdr>
        <w:bottom w:val="single" w:color="auto" w:sz="6" w:space="1"/>
      </w:pBdr>
      <w:tabs>
        <w:tab w:val="center" w:pos="4153"/>
        <w:tab w:val="right" w:pos="8306"/>
      </w:tabs>
      <w:snapToGrid w:val="0"/>
      <w:jc w:val="center"/>
    </w:pPr>
    <w:rPr>
      <w:sz w:val="18"/>
      <w:szCs w:val="18"/>
    </w:rPr>
  </w:style>
  <w:style w:type="paragraph" w:styleId="12">
    <w:name w:val="Normal (Web)"/>
    <w:basedOn w:val="1"/>
    <w:autoRedefine/>
    <w:qFormat/>
    <w:uiPriority w:val="99"/>
    <w:pPr>
      <w:widowControl/>
      <w:spacing w:before="100" w:beforeAutospacing="1" w:after="100" w:afterAutospacing="1"/>
      <w:jc w:val="left"/>
    </w:pPr>
    <w:rPr>
      <w:rFonts w:ascii="Arial Unicode MS" w:hAnsi="Arial Unicode MS" w:eastAsia="Arial Unicode MS" w:cs="Arial Unicode MS"/>
      <w:color w:val="000000"/>
      <w:kern w:val="0"/>
      <w:sz w:val="24"/>
    </w:rPr>
  </w:style>
  <w:style w:type="table" w:styleId="14">
    <w:name w:val="Table Grid"/>
    <w:basedOn w:val="13"/>
    <w:autoRedefine/>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6">
    <w:name w:val="page number"/>
    <w:basedOn w:val="15"/>
    <w:autoRedefine/>
    <w:qFormat/>
    <w:uiPriority w:val="0"/>
  </w:style>
  <w:style w:type="character" w:customStyle="1" w:styleId="17">
    <w:name w:val="style131"/>
    <w:autoRedefine/>
    <w:qFormat/>
    <w:uiPriority w:val="0"/>
    <w:rPr>
      <w:sz w:val="21"/>
      <w:szCs w:val="21"/>
    </w:rPr>
  </w:style>
  <w:style w:type="paragraph" w:customStyle="1" w:styleId="18">
    <w:name w:val="zw"/>
    <w:basedOn w:val="1"/>
    <w:autoRedefine/>
    <w:qFormat/>
    <w:uiPriority w:val="0"/>
    <w:pPr>
      <w:widowControl/>
      <w:spacing w:before="100" w:beforeAutospacing="1" w:after="100" w:afterAutospacing="1" w:line="390" w:lineRule="atLeast"/>
      <w:ind w:firstLine="480"/>
      <w:jc w:val="left"/>
    </w:pPr>
    <w:rPr>
      <w:rFonts w:ascii="宋体" w:hAnsi="宋体" w:cs="宋体"/>
      <w:kern w:val="0"/>
      <w:szCs w:val="21"/>
    </w:rPr>
  </w:style>
  <w:style w:type="paragraph" w:customStyle="1" w:styleId="19">
    <w:name w:val="reader-word-layer reader-word-s1-5"/>
    <w:basedOn w:val="1"/>
    <w:autoRedefine/>
    <w:qFormat/>
    <w:uiPriority w:val="0"/>
    <w:pPr>
      <w:widowControl/>
      <w:spacing w:before="100" w:beforeAutospacing="1" w:after="100" w:afterAutospacing="1"/>
      <w:jc w:val="left"/>
    </w:pPr>
    <w:rPr>
      <w:rFonts w:ascii="宋体" w:hAnsi="宋体" w:cs="宋体"/>
      <w:kern w:val="0"/>
      <w:sz w:val="24"/>
    </w:rPr>
  </w:style>
  <w:style w:type="paragraph" w:customStyle="1" w:styleId="20">
    <w:name w:val="reader-word-layer reader-word-s1-16"/>
    <w:basedOn w:val="1"/>
    <w:autoRedefine/>
    <w:qFormat/>
    <w:uiPriority w:val="0"/>
    <w:pPr>
      <w:widowControl/>
      <w:spacing w:before="100" w:beforeAutospacing="1" w:after="100" w:afterAutospacing="1"/>
      <w:jc w:val="left"/>
    </w:pPr>
    <w:rPr>
      <w:rFonts w:ascii="宋体" w:hAnsi="宋体" w:cs="宋体"/>
      <w:kern w:val="0"/>
      <w:sz w:val="24"/>
    </w:rPr>
  </w:style>
  <w:style w:type="character" w:customStyle="1" w:styleId="21">
    <w:name w:val="批注框文本 字符"/>
    <w:link w:val="9"/>
    <w:autoRedefine/>
    <w:qFormat/>
    <w:uiPriority w:val="0"/>
    <w:rPr>
      <w:rFonts w:ascii="Heiti SC Light" w:eastAsia="Heiti SC Light"/>
      <w:kern w:val="2"/>
      <w:sz w:val="18"/>
      <w:szCs w:val="18"/>
    </w:rPr>
  </w:style>
  <w:style w:type="paragraph" w:customStyle="1" w:styleId="22">
    <w:name w:val="彩色列表 - 强调文字颜色 11"/>
    <w:basedOn w:val="1"/>
    <w:autoRedefine/>
    <w:qFormat/>
    <w:uiPriority w:val="34"/>
    <w:pPr>
      <w:ind w:firstLine="420" w:firstLineChars="200"/>
    </w:pPr>
  </w:style>
  <w:style w:type="character" w:customStyle="1" w:styleId="23">
    <w:name w:val="页眉 字符"/>
    <w:basedOn w:val="15"/>
    <w:link w:val="11"/>
    <w:autoRedefine/>
    <w:qFormat/>
    <w:uiPriority w:val="0"/>
    <w:rPr>
      <w:kern w:val="2"/>
      <w:sz w:val="18"/>
      <w:szCs w:val="18"/>
    </w:rPr>
  </w:style>
  <w:style w:type="paragraph" w:styleId="24">
    <w:name w:val="List Paragraph"/>
    <w:basedOn w:val="1"/>
    <w:autoRedefine/>
    <w:unhideWhenUsed/>
    <w:qFormat/>
    <w:uiPriority w:val="99"/>
    <w:pPr>
      <w:ind w:firstLine="420" w:firstLineChars="200"/>
    </w:pPr>
  </w:style>
</w:styles>
</file>

<file path=word/_rels/document.xml.rels><?xml version="1.0" encoding="UTF-8" standalone="yes"?>
<Relationships xmlns="http://schemas.openxmlformats.org/package/2006/relationships"><Relationship Id="rId9" Type="http://schemas.openxmlformats.org/officeDocument/2006/relationships/image" Target="media/image4.png"/><Relationship Id="rId8" Type="http://schemas.openxmlformats.org/officeDocument/2006/relationships/image" Target="media/image3.png"/><Relationship Id="rId7" Type="http://schemas.openxmlformats.org/officeDocument/2006/relationships/image" Target="media/image2.png"/><Relationship Id="rId68" Type="http://schemas.openxmlformats.org/officeDocument/2006/relationships/fontTable" Target="fontTable.xml"/><Relationship Id="rId67" Type="http://schemas.openxmlformats.org/officeDocument/2006/relationships/customXml" Target="../customXml/item2.xml"/><Relationship Id="rId66" Type="http://schemas.openxmlformats.org/officeDocument/2006/relationships/numbering" Target="numbering.xml"/><Relationship Id="rId65" Type="http://schemas.openxmlformats.org/officeDocument/2006/relationships/customXml" Target="../customXml/item1.xml"/><Relationship Id="rId64" Type="http://schemas.openxmlformats.org/officeDocument/2006/relationships/image" Target="media/image58.png"/><Relationship Id="rId63" Type="http://schemas.openxmlformats.org/officeDocument/2006/relationships/image" Target="media/image57.png"/><Relationship Id="rId62" Type="http://schemas.openxmlformats.org/officeDocument/2006/relationships/image" Target="media/image56.png"/><Relationship Id="rId61" Type="http://schemas.openxmlformats.org/officeDocument/2006/relationships/image" Target="media/image55.png"/><Relationship Id="rId60" Type="http://schemas.openxmlformats.org/officeDocument/2006/relationships/image" Target="media/image54.png"/><Relationship Id="rId6" Type="http://schemas.openxmlformats.org/officeDocument/2006/relationships/image" Target="media/image1.png"/><Relationship Id="rId59" Type="http://schemas.openxmlformats.org/officeDocument/2006/relationships/image" Target="media/image53.png"/><Relationship Id="rId58" Type="http://schemas.openxmlformats.org/officeDocument/2006/relationships/image" Target="media/image52.png"/><Relationship Id="rId57" Type="http://schemas.openxmlformats.org/officeDocument/2006/relationships/image" Target="media/image51.png"/><Relationship Id="rId56" Type="http://schemas.openxmlformats.org/officeDocument/2006/relationships/image" Target="media/image50.png"/><Relationship Id="rId55" Type="http://schemas.openxmlformats.org/officeDocument/2006/relationships/image" Target="media/image49.png"/><Relationship Id="rId54" Type="http://schemas.openxmlformats.org/officeDocument/2006/relationships/image" Target="media/image48.png"/><Relationship Id="rId53" Type="http://schemas.openxmlformats.org/officeDocument/2006/relationships/image" Target="media/image47.jpeg"/><Relationship Id="rId52" Type="http://schemas.openxmlformats.org/officeDocument/2006/relationships/image" Target="media/image46.png"/><Relationship Id="rId51" Type="http://schemas.openxmlformats.org/officeDocument/2006/relationships/image" Target="media/image45.jpeg"/><Relationship Id="rId50" Type="http://schemas.openxmlformats.org/officeDocument/2006/relationships/image" Target="media/image44.png"/><Relationship Id="rId5" Type="http://schemas.openxmlformats.org/officeDocument/2006/relationships/theme" Target="theme/theme1.xml"/><Relationship Id="rId49" Type="http://schemas.openxmlformats.org/officeDocument/2006/relationships/image" Target="media/image43.png"/><Relationship Id="rId48" Type="http://schemas.openxmlformats.org/officeDocument/2006/relationships/image" Target="media/image42.png"/><Relationship Id="rId47" Type="http://schemas.openxmlformats.org/officeDocument/2006/relationships/image" Target="media/image41.png"/><Relationship Id="rId46" Type="http://schemas.openxmlformats.org/officeDocument/2006/relationships/image" Target="media/image40.png"/><Relationship Id="rId45" Type="http://schemas.openxmlformats.org/officeDocument/2006/relationships/image" Target="media/image39.png"/><Relationship Id="rId44" Type="http://schemas.openxmlformats.org/officeDocument/2006/relationships/image" Target="media/image38.png"/><Relationship Id="rId43" Type="http://schemas.openxmlformats.org/officeDocument/2006/relationships/image" Target="media/image37.png"/><Relationship Id="rId42" Type="http://schemas.openxmlformats.org/officeDocument/2006/relationships/image" Target="media/image36.png"/><Relationship Id="rId41" Type="http://schemas.openxmlformats.org/officeDocument/2006/relationships/image" Target="media/image35.png"/><Relationship Id="rId40" Type="http://schemas.openxmlformats.org/officeDocument/2006/relationships/image" Target="media/image34.png"/><Relationship Id="rId4" Type="http://schemas.openxmlformats.org/officeDocument/2006/relationships/footer" Target="footer2.xml"/><Relationship Id="rId39" Type="http://schemas.openxmlformats.org/officeDocument/2006/relationships/image" Target="media/image33.png"/><Relationship Id="rId38" Type="http://schemas.openxmlformats.org/officeDocument/2006/relationships/image" Target="media/image32.png"/><Relationship Id="rId37" Type="http://schemas.openxmlformats.org/officeDocument/2006/relationships/image" Target="media/image31.png"/><Relationship Id="rId36" Type="http://schemas.openxmlformats.org/officeDocument/2006/relationships/image" Target="media/image30.jpeg"/><Relationship Id="rId35" Type="http://schemas.openxmlformats.org/officeDocument/2006/relationships/image" Target="media/image29.png"/><Relationship Id="rId34" Type="http://schemas.openxmlformats.org/officeDocument/2006/relationships/image" Target="media/image28.png"/><Relationship Id="rId33" Type="http://schemas.openxmlformats.org/officeDocument/2006/relationships/image" Target="media/image27.png"/><Relationship Id="rId32" Type="http://schemas.openxmlformats.org/officeDocument/2006/relationships/image" Target="media/image26.png"/><Relationship Id="rId31" Type="http://schemas.openxmlformats.org/officeDocument/2006/relationships/image" Target="media/image25.wmf"/><Relationship Id="rId30" Type="http://schemas.openxmlformats.org/officeDocument/2006/relationships/image" Target="media/image24.wmf"/><Relationship Id="rId3" Type="http://schemas.openxmlformats.org/officeDocument/2006/relationships/footer" Target="footer1.xml"/><Relationship Id="rId29" Type="http://schemas.openxmlformats.org/officeDocument/2006/relationships/image" Target="media/image23.png"/><Relationship Id="rId28" Type="http://schemas.openxmlformats.org/officeDocument/2006/relationships/image" Target="media/image22.png"/><Relationship Id="rId27" Type="http://schemas.openxmlformats.org/officeDocument/2006/relationships/image" Target="media/image21.png"/><Relationship Id="rId26" Type="http://schemas.openxmlformats.org/officeDocument/2006/relationships/image" Target="media/image20.png"/><Relationship Id="rId25" Type="http://schemas.openxmlformats.org/officeDocument/2006/relationships/image" Target="media/image19.png"/><Relationship Id="rId24" Type="http://schemas.openxmlformats.org/officeDocument/2006/relationships/image" Target="media/image18.wmf"/><Relationship Id="rId23" Type="http://schemas.openxmlformats.org/officeDocument/2006/relationships/oleObject" Target="embeddings/oleObject1.bin"/><Relationship Id="rId22" Type="http://schemas.openxmlformats.org/officeDocument/2006/relationships/image" Target="media/image17.jpeg"/><Relationship Id="rId21" Type="http://schemas.openxmlformats.org/officeDocument/2006/relationships/image" Target="media/image16.jpeg"/><Relationship Id="rId20" Type="http://schemas.openxmlformats.org/officeDocument/2006/relationships/image" Target="media/image15.jpeg"/><Relationship Id="rId2" Type="http://schemas.openxmlformats.org/officeDocument/2006/relationships/settings" Target="settings.xml"/><Relationship Id="rId19" Type="http://schemas.openxmlformats.org/officeDocument/2006/relationships/image" Target="media/image14.jpeg"/><Relationship Id="rId18" Type="http://schemas.openxmlformats.org/officeDocument/2006/relationships/image" Target="media/image13.jpeg"/><Relationship Id="rId17" Type="http://schemas.openxmlformats.org/officeDocument/2006/relationships/image" Target="media/image12.jpeg"/><Relationship Id="rId16" Type="http://schemas.openxmlformats.org/officeDocument/2006/relationships/image" Target="media/image11.jpeg"/><Relationship Id="rId15" Type="http://schemas.openxmlformats.org/officeDocument/2006/relationships/image" Target="media/image10.jpeg"/><Relationship Id="rId14" Type="http://schemas.openxmlformats.org/officeDocument/2006/relationships/image" Target="media/image9.jpeg"/><Relationship Id="rId13" Type="http://schemas.openxmlformats.org/officeDocument/2006/relationships/image" Target="media/image8.jpeg"/><Relationship Id="rId12" Type="http://schemas.openxmlformats.org/officeDocument/2006/relationships/image" Target="media/image7.jpeg"/><Relationship Id="rId11" Type="http://schemas.openxmlformats.org/officeDocument/2006/relationships/image" Target="media/image6.jpeg"/><Relationship Id="rId10" Type="http://schemas.openxmlformats.org/officeDocument/2006/relationships/image" Target="media/image5.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2056"/>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A9362DFD-CEA3-4B2E-A396-9339EEC925F0}">
  <ds:schemaRefs/>
</ds:datastoreItem>
</file>

<file path=docProps/app.xml><?xml version="1.0" encoding="utf-8"?>
<Properties xmlns="http://schemas.openxmlformats.org/officeDocument/2006/extended-properties" xmlns:vt="http://schemas.openxmlformats.org/officeDocument/2006/docPropsVTypes">
  <Template>Normal.dotm</Template>
  <Company>Microsoft</Company>
  <Pages>101</Pages>
  <Words>7330</Words>
  <Characters>41787</Characters>
  <Lines>348</Lines>
  <Paragraphs>98</Paragraphs>
  <TotalTime>74</TotalTime>
  <ScaleCrop>false</ScaleCrop>
  <LinksUpToDate>false</LinksUpToDate>
  <CharactersWithSpaces>49019</CharactersWithSpaces>
  <Application>WPS Office_12.1.0.16120_F1E327BC-269C-435d-A152-05C5408002CA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2024-02-29T08:04:00Z</dcterms:created>
  <dc:creator>MC SYSTEM</dc:creator>
  <cp:lastModifiedBy>周沐清</cp:lastModifiedBy>
  <cp:lastPrinted>2019-03-05T11:23:00Z</cp:lastPrinted>
  <dcterms:modified xsi:type="dcterms:W3CDTF">2024-03-02T10:56:41Z</dcterms:modified>
  <dc:title>授课题目</dc:title>
  <cp:revision>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2052-12.1.0.16120</vt:lpwstr>
  </property>
  <property fmtid="{D5CDD505-2E9C-101B-9397-08002B2CF9AE}" pid="3" name="ICV">
    <vt:lpwstr>40097207BDCC44729BCB2D5902B99B48_13</vt:lpwstr>
  </property>
</Properties>
</file>