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974" w:hSpace="180" w:wrap="around" w:vAnchor="text" w:hAnchor="page" w:x="681" w:yAlign="top"/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附件4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pPr w:leftFromText="180" w:rightFromText="180" w:vertAnchor="text" w:horzAnchor="margin" w:tblpXSpec="center" w:tblpY="626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3"/>
        <w:gridCol w:w="320"/>
        <w:gridCol w:w="220"/>
        <w:gridCol w:w="900"/>
        <w:gridCol w:w="540"/>
        <w:gridCol w:w="627"/>
        <w:gridCol w:w="1353"/>
        <w:gridCol w:w="87"/>
        <w:gridCol w:w="720"/>
        <w:gridCol w:w="720"/>
        <w:gridCol w:w="633"/>
        <w:gridCol w:w="108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所在院（部）、专业、年级、联系方式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农业银行卡号</w:t>
            </w: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变更及签名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证明及评议情况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ind w:right="90" w:firstLine="4770" w:firstLineChars="26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附件：  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认定特征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□一般困难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□困难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□特别困难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学业、心理健康状况及帮助情况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担任学生干部、入党、学生团体参加情况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贫困生成长计划参与情况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奖、贷、勤、助等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资助措施落实情况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四川轻化工大学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2"/>
          <w:szCs w:val="32"/>
        </w:rPr>
        <w:t>家庭经济困难学生档案卡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1、编号方式为AA99-999。如管理学院2000级排序第一的贫困学生编号为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GL00-001。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2、资助措施包括：奖、贷、勤、助、补、减、免、缓。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3、此表由辅导员或班主任填写，各院（部）妥善保存。</w:t>
      </w:r>
    </w:p>
    <w:p/>
    <w:sectPr>
      <w:footerReference r:id="rId3" w:type="default"/>
      <w:pgSz w:w="11906" w:h="16838"/>
      <w:pgMar w:top="1418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赖春耘</cp:lastModifiedBy>
  <dcterms:modified xsi:type="dcterms:W3CDTF">2019-07-08T03:11:41Z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