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206" w:rsidRPr="00481206" w:rsidRDefault="00481206" w:rsidP="00481206">
      <w:pPr>
        <w:jc w:val="center"/>
        <w:rPr>
          <w:rFonts w:ascii="宋体" w:hAnsi="宋体" w:cs="宋体"/>
          <w:b/>
          <w:szCs w:val="21"/>
        </w:rPr>
      </w:pPr>
    </w:p>
    <w:p w:rsidR="00481206" w:rsidRPr="00481206" w:rsidRDefault="00481206" w:rsidP="00481206">
      <w:pPr>
        <w:jc w:val="center"/>
        <w:rPr>
          <w:rFonts w:ascii="宋体" w:hAnsi="宋体" w:cs="宋体"/>
          <w:b/>
          <w:szCs w:val="21"/>
        </w:rPr>
      </w:pPr>
    </w:p>
    <w:p w:rsidR="00481206" w:rsidRPr="00481206" w:rsidRDefault="00481206" w:rsidP="00481206">
      <w:pPr>
        <w:rPr>
          <w:rFonts w:ascii="宋体" w:hAnsi="宋体" w:cs="宋体"/>
          <w:b/>
          <w:szCs w:val="21"/>
        </w:rPr>
      </w:pPr>
    </w:p>
    <w:p w:rsidR="00481206" w:rsidRPr="00481206" w:rsidRDefault="00481206" w:rsidP="00481206">
      <w:pPr>
        <w:jc w:val="left"/>
        <w:rPr>
          <w:rFonts w:ascii="黑体" w:eastAsia="黑体" w:hAnsi="黑体" w:cs="黑体"/>
          <w:b/>
          <w:sz w:val="52"/>
          <w:szCs w:val="52"/>
        </w:rPr>
      </w:pPr>
      <w:r w:rsidRPr="00481206">
        <w:rPr>
          <w:rFonts w:ascii="宋体" w:hAnsi="宋体" w:cs="宋体"/>
          <w:noProof/>
          <w:sz w:val="24"/>
        </w:rPr>
        <w:drawing>
          <wp:inline distT="0" distB="0" distL="0" distR="0">
            <wp:extent cx="1019175" cy="1019175"/>
            <wp:effectExtent l="19050" t="0" r="9525" b="0"/>
            <wp:docPr id="405" name="图片 31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88" descr="IMG_256"/>
                    <pic:cNvPicPr>
                      <a:picLocks noChangeAspect="1" noChangeArrowheads="1"/>
                    </pic:cNvPicPr>
                  </pic:nvPicPr>
                  <pic:blipFill>
                    <a:blip r:embed="rId8" cstate="print"/>
                    <a:srcRect/>
                    <a:stretch>
                      <a:fillRect/>
                    </a:stretch>
                  </pic:blipFill>
                  <pic:spPr bwMode="auto">
                    <a:xfrm>
                      <a:off x="0" y="0"/>
                      <a:ext cx="1019175" cy="1019175"/>
                    </a:xfrm>
                    <a:prstGeom prst="rect">
                      <a:avLst/>
                    </a:prstGeom>
                    <a:noFill/>
                    <a:ln w="9525">
                      <a:noFill/>
                      <a:miter lim="800000"/>
                      <a:headEnd/>
                      <a:tailEnd/>
                    </a:ln>
                  </pic:spPr>
                </pic:pic>
              </a:graphicData>
            </a:graphic>
          </wp:inline>
        </w:drawing>
      </w:r>
      <w:r w:rsidRPr="00481206">
        <w:rPr>
          <w:rFonts w:ascii="黑体" w:eastAsia="黑体" w:hAnsi="黑体" w:cs="黑体" w:hint="eastAsia"/>
          <w:b/>
          <w:sz w:val="52"/>
          <w:szCs w:val="52"/>
        </w:rPr>
        <w:t>四川理工学院课程实施大纲</w:t>
      </w:r>
    </w:p>
    <w:p w:rsidR="00481206" w:rsidRPr="00481206" w:rsidRDefault="00481206" w:rsidP="00481206">
      <w:pPr>
        <w:jc w:val="center"/>
        <w:rPr>
          <w:rFonts w:ascii="黑体" w:eastAsia="黑体" w:hAnsi="黑体" w:cs="黑体"/>
          <w:b/>
          <w:sz w:val="52"/>
          <w:szCs w:val="52"/>
        </w:rPr>
      </w:pPr>
    </w:p>
    <w:p w:rsidR="00481206" w:rsidRPr="00481206" w:rsidRDefault="00481206" w:rsidP="00481206">
      <w:pPr>
        <w:jc w:val="center"/>
        <w:rPr>
          <w:rFonts w:ascii="宋体" w:hAnsi="宋体" w:cs="宋体"/>
          <w:b/>
          <w:sz w:val="32"/>
          <w:szCs w:val="32"/>
        </w:rPr>
      </w:pPr>
    </w:p>
    <w:tbl>
      <w:tblPr>
        <w:tblW w:w="0" w:type="auto"/>
        <w:jc w:val="center"/>
        <w:tblLayout w:type="fixed"/>
        <w:tblLook w:val="0000"/>
      </w:tblPr>
      <w:tblGrid>
        <w:gridCol w:w="7256"/>
      </w:tblGrid>
      <w:tr w:rsidR="00481206" w:rsidRPr="00481206" w:rsidTr="00CF0F4C">
        <w:trPr>
          <w:jc w:val="center"/>
        </w:trPr>
        <w:tc>
          <w:tcPr>
            <w:tcW w:w="7256" w:type="dxa"/>
          </w:tcPr>
          <w:p w:rsidR="00481206" w:rsidRPr="00481206" w:rsidRDefault="00481206" w:rsidP="005318D5">
            <w:pPr>
              <w:spacing w:beforeLines="100" w:afterLines="100"/>
              <w:jc w:val="left"/>
              <w:rPr>
                <w:rFonts w:ascii="宋体" w:hAnsi="宋体" w:cs="宋体"/>
                <w:b/>
                <w:sz w:val="32"/>
                <w:szCs w:val="32"/>
              </w:rPr>
            </w:pPr>
            <w:r w:rsidRPr="00481206">
              <w:rPr>
                <w:rFonts w:ascii="宋体" w:hAnsi="宋体" w:cs="宋体" w:hint="eastAsia"/>
                <w:b/>
                <w:sz w:val="32"/>
                <w:szCs w:val="32"/>
              </w:rPr>
              <w:t>课程名称：衍生金融产品概论</w:t>
            </w:r>
          </w:p>
          <w:p w:rsidR="00481206" w:rsidRPr="00481206" w:rsidRDefault="00481206" w:rsidP="005318D5">
            <w:pPr>
              <w:spacing w:beforeLines="100" w:afterLines="100"/>
              <w:jc w:val="left"/>
              <w:rPr>
                <w:rFonts w:ascii="宋体" w:hAnsi="宋体" w:cs="宋体"/>
                <w:b/>
                <w:sz w:val="32"/>
                <w:szCs w:val="32"/>
              </w:rPr>
            </w:pPr>
            <w:r w:rsidRPr="00481206">
              <w:rPr>
                <w:rFonts w:ascii="宋体" w:hAnsi="宋体" w:cs="宋体" w:hint="eastAsia"/>
                <w:b/>
                <w:sz w:val="32"/>
                <w:szCs w:val="32"/>
              </w:rPr>
              <w:t>（I</w:t>
            </w:r>
            <w:r w:rsidRPr="00481206">
              <w:rPr>
                <w:rFonts w:ascii="宋体" w:hAnsi="宋体" w:cs="宋体"/>
                <w:b/>
                <w:sz w:val="32"/>
                <w:szCs w:val="32"/>
              </w:rPr>
              <w:t xml:space="preserve">ntroduction of </w:t>
            </w:r>
            <w:r w:rsidRPr="00481206">
              <w:rPr>
                <w:rFonts w:ascii="宋体" w:hAnsi="宋体" w:cs="宋体" w:hint="eastAsia"/>
                <w:b/>
                <w:sz w:val="32"/>
                <w:szCs w:val="32"/>
              </w:rPr>
              <w:t>F</w:t>
            </w:r>
            <w:r w:rsidRPr="00481206">
              <w:rPr>
                <w:rFonts w:ascii="宋体" w:hAnsi="宋体" w:cs="宋体"/>
                <w:b/>
                <w:sz w:val="32"/>
                <w:szCs w:val="32"/>
              </w:rPr>
              <w:t xml:space="preserve">inancial </w:t>
            </w:r>
            <w:r w:rsidRPr="00481206">
              <w:rPr>
                <w:rFonts w:ascii="宋体" w:hAnsi="宋体" w:cs="宋体" w:hint="eastAsia"/>
                <w:b/>
                <w:sz w:val="32"/>
                <w:szCs w:val="32"/>
              </w:rPr>
              <w:t>D</w:t>
            </w:r>
            <w:r w:rsidRPr="00481206">
              <w:rPr>
                <w:rFonts w:ascii="宋体" w:hAnsi="宋体" w:cs="宋体"/>
                <w:b/>
                <w:sz w:val="32"/>
                <w:szCs w:val="32"/>
              </w:rPr>
              <w:t>erivatives）</w:t>
            </w:r>
          </w:p>
        </w:tc>
      </w:tr>
      <w:tr w:rsidR="00481206" w:rsidRPr="00481206" w:rsidTr="00CF0F4C">
        <w:trPr>
          <w:jc w:val="center"/>
        </w:trPr>
        <w:tc>
          <w:tcPr>
            <w:tcW w:w="7256" w:type="dxa"/>
          </w:tcPr>
          <w:p w:rsidR="00481206" w:rsidRPr="00481206" w:rsidRDefault="00481206" w:rsidP="005318D5">
            <w:pPr>
              <w:spacing w:beforeLines="100" w:afterLines="100"/>
              <w:jc w:val="left"/>
              <w:rPr>
                <w:rFonts w:ascii="宋体" w:hAnsi="宋体" w:cs="宋体"/>
                <w:b/>
                <w:sz w:val="32"/>
                <w:szCs w:val="32"/>
              </w:rPr>
            </w:pPr>
            <w:r w:rsidRPr="00481206">
              <w:rPr>
                <w:rFonts w:ascii="宋体" w:hAnsi="宋体" w:cs="宋体" w:hint="eastAsia"/>
                <w:b/>
                <w:sz w:val="32"/>
                <w:szCs w:val="32"/>
              </w:rPr>
              <w:t>授课班级：经贸20141-5班</w:t>
            </w:r>
          </w:p>
        </w:tc>
      </w:tr>
      <w:tr w:rsidR="00481206" w:rsidRPr="00481206" w:rsidTr="00CF0F4C">
        <w:trPr>
          <w:jc w:val="center"/>
        </w:trPr>
        <w:tc>
          <w:tcPr>
            <w:tcW w:w="7256" w:type="dxa"/>
          </w:tcPr>
          <w:p w:rsidR="00481206" w:rsidRPr="00481206" w:rsidRDefault="00481206" w:rsidP="005318D5">
            <w:pPr>
              <w:spacing w:beforeLines="100" w:afterLines="100"/>
              <w:jc w:val="left"/>
              <w:rPr>
                <w:rFonts w:ascii="宋体" w:hAnsi="宋体" w:cs="宋体"/>
                <w:b/>
                <w:sz w:val="32"/>
                <w:szCs w:val="32"/>
              </w:rPr>
            </w:pPr>
            <w:r w:rsidRPr="00481206">
              <w:rPr>
                <w:rFonts w:ascii="宋体" w:hAnsi="宋体" w:cs="宋体" w:hint="eastAsia"/>
                <w:b/>
                <w:sz w:val="32"/>
                <w:szCs w:val="32"/>
              </w:rPr>
              <w:t>任课教师：罗洎</w:t>
            </w:r>
          </w:p>
        </w:tc>
      </w:tr>
      <w:tr w:rsidR="00481206" w:rsidRPr="00481206" w:rsidTr="00CF0F4C">
        <w:trPr>
          <w:jc w:val="center"/>
        </w:trPr>
        <w:tc>
          <w:tcPr>
            <w:tcW w:w="7256" w:type="dxa"/>
          </w:tcPr>
          <w:p w:rsidR="00481206" w:rsidRPr="00481206" w:rsidRDefault="00481206" w:rsidP="005318D5">
            <w:pPr>
              <w:spacing w:beforeLines="100" w:afterLines="100"/>
              <w:jc w:val="left"/>
              <w:rPr>
                <w:rFonts w:ascii="宋体" w:hAnsi="宋体" w:cs="宋体"/>
                <w:b/>
                <w:sz w:val="32"/>
                <w:szCs w:val="32"/>
              </w:rPr>
            </w:pPr>
            <w:r w:rsidRPr="00481206">
              <w:rPr>
                <w:rFonts w:ascii="宋体" w:hAnsi="宋体" w:cs="宋体" w:hint="eastAsia"/>
                <w:b/>
                <w:sz w:val="32"/>
                <w:szCs w:val="32"/>
              </w:rPr>
              <w:t>工作部门：经济学院</w:t>
            </w:r>
          </w:p>
        </w:tc>
      </w:tr>
      <w:tr w:rsidR="00481206" w:rsidRPr="00481206" w:rsidTr="00CF0F4C">
        <w:trPr>
          <w:jc w:val="center"/>
        </w:trPr>
        <w:tc>
          <w:tcPr>
            <w:tcW w:w="7256" w:type="dxa"/>
          </w:tcPr>
          <w:p w:rsidR="00481206" w:rsidRPr="00481206" w:rsidRDefault="00481206" w:rsidP="005318D5">
            <w:pPr>
              <w:spacing w:beforeLines="100" w:afterLines="100"/>
              <w:jc w:val="left"/>
              <w:rPr>
                <w:rFonts w:ascii="宋体" w:hAnsi="宋体" w:cs="宋体"/>
                <w:b/>
                <w:sz w:val="32"/>
                <w:szCs w:val="32"/>
              </w:rPr>
            </w:pPr>
            <w:r w:rsidRPr="00481206">
              <w:rPr>
                <w:rFonts w:ascii="宋体" w:hAnsi="宋体" w:cs="宋体" w:hint="eastAsia"/>
                <w:b/>
                <w:sz w:val="32"/>
                <w:szCs w:val="32"/>
              </w:rPr>
              <w:t>联系方式：13558905661；35348533@qq.com</w:t>
            </w:r>
          </w:p>
        </w:tc>
      </w:tr>
    </w:tbl>
    <w:p w:rsidR="00481206" w:rsidRPr="00481206" w:rsidRDefault="00481206" w:rsidP="00481206">
      <w:pPr>
        <w:jc w:val="center"/>
        <w:rPr>
          <w:rFonts w:ascii="宋体" w:hAnsi="宋体" w:cs="宋体"/>
          <w:b/>
          <w:sz w:val="32"/>
          <w:szCs w:val="32"/>
        </w:rPr>
      </w:pPr>
    </w:p>
    <w:p w:rsidR="00481206" w:rsidRPr="00481206" w:rsidRDefault="00481206" w:rsidP="00481206">
      <w:pPr>
        <w:jc w:val="center"/>
        <w:rPr>
          <w:rFonts w:ascii="宋体" w:hAnsi="宋体" w:cs="宋体"/>
          <w:b/>
          <w:sz w:val="32"/>
          <w:szCs w:val="32"/>
        </w:rPr>
      </w:pPr>
    </w:p>
    <w:p w:rsidR="00481206" w:rsidRPr="00481206" w:rsidRDefault="00481206" w:rsidP="00481206">
      <w:pPr>
        <w:jc w:val="center"/>
        <w:rPr>
          <w:rFonts w:ascii="宋体" w:hAnsi="宋体" w:cs="宋体"/>
          <w:b/>
          <w:sz w:val="32"/>
          <w:szCs w:val="32"/>
        </w:rPr>
      </w:pPr>
      <w:r w:rsidRPr="00481206">
        <w:rPr>
          <w:rFonts w:ascii="宋体" w:hAnsi="宋体" w:cs="宋体" w:hint="eastAsia"/>
          <w:b/>
          <w:sz w:val="32"/>
          <w:szCs w:val="32"/>
        </w:rPr>
        <w:t>四川理工学院  制</w:t>
      </w:r>
    </w:p>
    <w:p w:rsidR="00481206" w:rsidRPr="00481206" w:rsidRDefault="00481206" w:rsidP="00481206">
      <w:pPr>
        <w:jc w:val="center"/>
        <w:rPr>
          <w:rFonts w:ascii="宋体" w:hAnsi="宋体" w:cs="宋体"/>
          <w:b/>
          <w:sz w:val="32"/>
          <w:szCs w:val="32"/>
        </w:rPr>
      </w:pPr>
      <w:r w:rsidRPr="00481206">
        <w:rPr>
          <w:rFonts w:ascii="宋体" w:hAnsi="宋体" w:cs="宋体" w:hint="eastAsia"/>
          <w:b/>
          <w:sz w:val="32"/>
          <w:szCs w:val="32"/>
        </w:rPr>
        <w:t>2017年2月</w:t>
      </w:r>
    </w:p>
    <w:p w:rsidR="00481206" w:rsidRPr="00481206" w:rsidRDefault="00481206" w:rsidP="00481206">
      <w:pPr>
        <w:jc w:val="center"/>
        <w:rPr>
          <w:rFonts w:ascii="宋体" w:hAnsi="宋体" w:cs="宋体"/>
          <w:b/>
          <w:sz w:val="44"/>
          <w:szCs w:val="44"/>
        </w:rPr>
      </w:pPr>
      <w:r w:rsidRPr="00481206">
        <w:rPr>
          <w:rFonts w:ascii="宋体" w:hAnsi="宋体" w:cs="宋体"/>
          <w:noProof/>
          <w:sz w:val="24"/>
        </w:rPr>
        <w:lastRenderedPageBreak/>
        <w:drawing>
          <wp:inline distT="0" distB="0" distL="0" distR="0">
            <wp:extent cx="904875" cy="914400"/>
            <wp:effectExtent l="19050" t="0" r="9525" b="0"/>
            <wp:docPr id="2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9" cstate="print"/>
                    <a:srcRect/>
                    <a:stretch>
                      <a:fillRect/>
                    </a:stretch>
                  </pic:blipFill>
                  <pic:spPr bwMode="auto">
                    <a:xfrm>
                      <a:off x="0" y="0"/>
                      <a:ext cx="904875" cy="914400"/>
                    </a:xfrm>
                    <a:prstGeom prst="rect">
                      <a:avLst/>
                    </a:prstGeom>
                    <a:noFill/>
                    <a:ln w="9525">
                      <a:noFill/>
                      <a:miter lim="800000"/>
                      <a:headEnd/>
                      <a:tailEnd/>
                    </a:ln>
                  </pic:spPr>
                </pic:pic>
              </a:graphicData>
            </a:graphic>
          </wp:inline>
        </w:drawing>
      </w:r>
      <w:r w:rsidRPr="00481206">
        <w:rPr>
          <w:rFonts w:ascii="黑体" w:eastAsia="黑体" w:hAnsi="宋体" w:hint="eastAsia"/>
          <w:sz w:val="52"/>
          <w:szCs w:val="52"/>
        </w:rPr>
        <w:t>四川理工学院课程实施大纲</w:t>
      </w:r>
    </w:p>
    <w:p w:rsidR="00481206" w:rsidRPr="00481206" w:rsidRDefault="00481206" w:rsidP="00481206">
      <w:pPr>
        <w:jc w:val="center"/>
        <w:rPr>
          <w:rFonts w:ascii="宋体" w:hAnsi="宋体" w:cs="宋体"/>
          <w:b/>
          <w:szCs w:val="21"/>
        </w:rPr>
      </w:pPr>
    </w:p>
    <w:tbl>
      <w:tblPr>
        <w:tblW w:w="0" w:type="auto"/>
        <w:jc w:val="center"/>
        <w:tblLayout w:type="fixed"/>
        <w:tblLook w:val="0000"/>
      </w:tblPr>
      <w:tblGrid>
        <w:gridCol w:w="8522"/>
      </w:tblGrid>
      <w:tr w:rsidR="00481206" w:rsidRPr="00481206" w:rsidTr="00CF0F4C">
        <w:trPr>
          <w:jc w:val="center"/>
        </w:trPr>
        <w:tc>
          <w:tcPr>
            <w:tcW w:w="8522" w:type="dxa"/>
          </w:tcPr>
          <w:p w:rsidR="00481206" w:rsidRPr="00481206" w:rsidRDefault="00481206" w:rsidP="005318D5">
            <w:pPr>
              <w:spacing w:beforeLines="50"/>
              <w:ind w:firstLineChars="200" w:firstLine="643"/>
              <w:jc w:val="left"/>
              <w:rPr>
                <w:rFonts w:ascii="宋体" w:hAnsi="宋体" w:cs="宋体"/>
                <w:b/>
                <w:bCs/>
                <w:sz w:val="32"/>
                <w:szCs w:val="32"/>
              </w:rPr>
            </w:pPr>
            <w:r w:rsidRPr="00481206">
              <w:rPr>
                <w:rFonts w:ascii="宋体" w:hAnsi="宋体" w:cs="宋体" w:hint="eastAsia"/>
                <w:b/>
                <w:bCs/>
                <w:sz w:val="32"/>
                <w:szCs w:val="32"/>
              </w:rPr>
              <w:t xml:space="preserve">课程代码： </w:t>
            </w:r>
            <w:r w:rsidR="005318D5" w:rsidRPr="005318D5">
              <w:rPr>
                <w:rFonts w:ascii="宋体" w:hAnsi="宋体" w:cs="宋体"/>
                <w:b/>
                <w:bCs/>
                <w:sz w:val="32"/>
                <w:szCs w:val="32"/>
              </w:rPr>
              <w:t>b0508024</w:t>
            </w:r>
            <w:r w:rsidRPr="00481206">
              <w:rPr>
                <w:rFonts w:ascii="宋体" w:hAnsi="宋体" w:cs="宋体" w:hint="eastAsia"/>
                <w:b/>
                <w:bCs/>
                <w:sz w:val="32"/>
                <w:szCs w:val="32"/>
              </w:rPr>
              <w:t xml:space="preserve"> </w:t>
            </w:r>
          </w:p>
          <w:p w:rsidR="00481206" w:rsidRPr="00481206" w:rsidRDefault="00481206" w:rsidP="00CF0F4C">
            <w:pPr>
              <w:ind w:firstLineChars="200" w:firstLine="643"/>
              <w:jc w:val="left"/>
              <w:rPr>
                <w:rFonts w:ascii="宋体" w:hAnsi="宋体" w:cs="宋体"/>
                <w:b/>
                <w:bCs/>
                <w:sz w:val="32"/>
                <w:szCs w:val="32"/>
              </w:rPr>
            </w:pPr>
            <w:r w:rsidRPr="00481206">
              <w:rPr>
                <w:rFonts w:ascii="宋体" w:hAnsi="宋体" w:cs="宋体" w:hint="eastAsia"/>
                <w:b/>
                <w:bCs/>
                <w:sz w:val="32"/>
                <w:szCs w:val="32"/>
              </w:rPr>
              <w:t>课程名称：衍生金融产品概论</w:t>
            </w:r>
          </w:p>
          <w:p w:rsidR="00481206" w:rsidRPr="00481206" w:rsidRDefault="00481206" w:rsidP="00CF0F4C">
            <w:pPr>
              <w:ind w:firstLineChars="600" w:firstLine="1928"/>
              <w:jc w:val="left"/>
              <w:rPr>
                <w:rFonts w:ascii="宋体" w:hAnsi="宋体" w:cs="宋体"/>
                <w:b/>
                <w:bCs/>
                <w:sz w:val="32"/>
                <w:szCs w:val="32"/>
              </w:rPr>
            </w:pPr>
            <w:r w:rsidRPr="00481206">
              <w:rPr>
                <w:rFonts w:ascii="宋体" w:hAnsi="宋体" w:cs="宋体" w:hint="eastAsia"/>
                <w:b/>
                <w:bCs/>
                <w:sz w:val="32"/>
                <w:szCs w:val="32"/>
              </w:rPr>
              <w:t>（</w:t>
            </w:r>
            <w:r w:rsidRPr="00481206">
              <w:rPr>
                <w:rFonts w:ascii="宋体" w:hAnsi="宋体" w:cs="宋体" w:hint="eastAsia"/>
                <w:b/>
                <w:sz w:val="32"/>
                <w:szCs w:val="32"/>
              </w:rPr>
              <w:t>I</w:t>
            </w:r>
            <w:r w:rsidRPr="00481206">
              <w:rPr>
                <w:rFonts w:ascii="宋体" w:hAnsi="宋体" w:cs="宋体"/>
                <w:b/>
                <w:sz w:val="32"/>
                <w:szCs w:val="32"/>
              </w:rPr>
              <w:t xml:space="preserve">ntroduction of </w:t>
            </w:r>
            <w:r w:rsidRPr="00481206">
              <w:rPr>
                <w:rFonts w:ascii="宋体" w:hAnsi="宋体" w:cs="宋体" w:hint="eastAsia"/>
                <w:b/>
                <w:sz w:val="32"/>
                <w:szCs w:val="32"/>
              </w:rPr>
              <w:t>F</w:t>
            </w:r>
            <w:r w:rsidRPr="00481206">
              <w:rPr>
                <w:rFonts w:ascii="宋体" w:hAnsi="宋体" w:cs="宋体"/>
                <w:b/>
                <w:sz w:val="32"/>
                <w:szCs w:val="32"/>
              </w:rPr>
              <w:t xml:space="preserve">inancial </w:t>
            </w:r>
            <w:r w:rsidRPr="00481206">
              <w:rPr>
                <w:rFonts w:ascii="宋体" w:hAnsi="宋体" w:cs="宋体" w:hint="eastAsia"/>
                <w:b/>
                <w:sz w:val="32"/>
                <w:szCs w:val="32"/>
              </w:rPr>
              <w:t>D</w:t>
            </w:r>
            <w:r w:rsidRPr="00481206">
              <w:rPr>
                <w:rFonts w:ascii="宋体" w:hAnsi="宋体" w:cs="宋体"/>
                <w:b/>
                <w:sz w:val="32"/>
                <w:szCs w:val="32"/>
              </w:rPr>
              <w:t>erivatives</w:t>
            </w:r>
            <w:r w:rsidRPr="00481206">
              <w:rPr>
                <w:rFonts w:ascii="宋体" w:hAnsi="宋体" w:cs="宋体"/>
                <w:b/>
                <w:bCs/>
                <w:sz w:val="32"/>
                <w:szCs w:val="32"/>
              </w:rPr>
              <w:t>）</w:t>
            </w:r>
          </w:p>
          <w:p w:rsidR="00481206" w:rsidRPr="00481206" w:rsidRDefault="00481206" w:rsidP="00CF0F4C">
            <w:pPr>
              <w:ind w:firstLineChars="200" w:firstLine="643"/>
              <w:jc w:val="left"/>
              <w:rPr>
                <w:rFonts w:ascii="宋体" w:hAnsi="宋体" w:cs="宋体"/>
                <w:b/>
                <w:bCs/>
                <w:sz w:val="32"/>
                <w:szCs w:val="32"/>
              </w:rPr>
            </w:pPr>
            <w:r w:rsidRPr="00481206">
              <w:rPr>
                <w:rFonts w:ascii="宋体" w:hAnsi="宋体" w:cs="宋体" w:hint="eastAsia"/>
                <w:b/>
                <w:bCs/>
                <w:sz w:val="32"/>
                <w:szCs w:val="32"/>
              </w:rPr>
              <w:t>学    分：2</w:t>
            </w:r>
          </w:p>
          <w:p w:rsidR="00481206" w:rsidRPr="00481206" w:rsidRDefault="00481206" w:rsidP="00CF0F4C">
            <w:pPr>
              <w:ind w:firstLineChars="200" w:firstLine="643"/>
              <w:jc w:val="left"/>
              <w:rPr>
                <w:rFonts w:ascii="宋体" w:hAnsi="宋体" w:cs="宋体"/>
                <w:b/>
                <w:bCs/>
                <w:sz w:val="32"/>
                <w:szCs w:val="32"/>
              </w:rPr>
            </w:pPr>
            <w:r w:rsidRPr="00481206">
              <w:rPr>
                <w:rFonts w:ascii="宋体" w:hAnsi="宋体" w:cs="宋体" w:hint="eastAsia"/>
                <w:b/>
                <w:bCs/>
                <w:sz w:val="32"/>
                <w:szCs w:val="32"/>
              </w:rPr>
              <w:t>总 学 时：30</w:t>
            </w:r>
          </w:p>
          <w:p w:rsidR="00481206" w:rsidRPr="00481206" w:rsidRDefault="00481206" w:rsidP="00CF0F4C">
            <w:pPr>
              <w:ind w:firstLineChars="200" w:firstLine="643"/>
              <w:jc w:val="left"/>
              <w:rPr>
                <w:rFonts w:ascii="宋体" w:hAnsi="宋体" w:cs="宋体"/>
                <w:b/>
                <w:bCs/>
                <w:sz w:val="32"/>
                <w:szCs w:val="32"/>
              </w:rPr>
            </w:pPr>
            <w:r w:rsidRPr="00481206">
              <w:rPr>
                <w:rFonts w:ascii="宋体" w:hAnsi="宋体" w:cs="宋体" w:hint="eastAsia"/>
                <w:b/>
                <w:bCs/>
                <w:sz w:val="32"/>
                <w:szCs w:val="32"/>
              </w:rPr>
              <w:t>学    期：2016-2017第1期</w:t>
            </w:r>
          </w:p>
          <w:p w:rsidR="00481206" w:rsidRPr="00481206" w:rsidRDefault="00481206" w:rsidP="00CF0F4C">
            <w:pPr>
              <w:ind w:firstLineChars="200" w:firstLine="643"/>
              <w:jc w:val="left"/>
              <w:rPr>
                <w:rFonts w:ascii="宋体" w:hAnsi="宋体" w:cs="宋体"/>
                <w:b/>
                <w:bCs/>
                <w:sz w:val="32"/>
                <w:szCs w:val="32"/>
              </w:rPr>
            </w:pPr>
            <w:r w:rsidRPr="00481206">
              <w:rPr>
                <w:rFonts w:ascii="宋体" w:hAnsi="宋体" w:cs="宋体" w:hint="eastAsia"/>
                <w:b/>
                <w:bCs/>
                <w:sz w:val="32"/>
                <w:szCs w:val="32"/>
              </w:rPr>
              <w:t>上课时间：周二、周四上午3、4节</w:t>
            </w:r>
          </w:p>
          <w:p w:rsidR="00481206" w:rsidRPr="00481206" w:rsidRDefault="00481206" w:rsidP="00CF0F4C">
            <w:pPr>
              <w:ind w:firstLineChars="200" w:firstLine="643"/>
              <w:jc w:val="left"/>
              <w:rPr>
                <w:rFonts w:ascii="宋体" w:hAnsi="宋体" w:cs="宋体"/>
                <w:b/>
                <w:bCs/>
                <w:sz w:val="32"/>
                <w:szCs w:val="32"/>
              </w:rPr>
            </w:pPr>
            <w:r w:rsidRPr="00481206">
              <w:rPr>
                <w:rFonts w:ascii="宋体" w:hAnsi="宋体" w:cs="宋体" w:hint="eastAsia"/>
                <w:b/>
                <w:bCs/>
                <w:sz w:val="32"/>
                <w:szCs w:val="32"/>
              </w:rPr>
              <w:t>上课地点：周二B二阶；周四B-阶</w:t>
            </w:r>
          </w:p>
          <w:p w:rsidR="00481206" w:rsidRPr="00481206" w:rsidRDefault="00481206" w:rsidP="00CF0F4C">
            <w:pPr>
              <w:ind w:firstLineChars="200" w:firstLine="643"/>
              <w:jc w:val="left"/>
              <w:rPr>
                <w:rFonts w:ascii="宋体" w:hAnsi="宋体" w:cs="宋体"/>
                <w:b/>
                <w:bCs/>
                <w:sz w:val="32"/>
                <w:szCs w:val="32"/>
              </w:rPr>
            </w:pPr>
            <w:r w:rsidRPr="00481206">
              <w:rPr>
                <w:rFonts w:ascii="宋体" w:hAnsi="宋体" w:cs="宋体" w:hint="eastAsia"/>
                <w:b/>
                <w:bCs/>
                <w:sz w:val="32"/>
                <w:szCs w:val="32"/>
              </w:rPr>
              <w:t>答疑时间和方式：每次课前、课间和课后计30分钟，采用口头问答方式；对于普遍性疑问，认知性难点，可以抽挤课堂部分时间进行讲解。</w:t>
            </w:r>
          </w:p>
          <w:p w:rsidR="00481206" w:rsidRPr="00481206" w:rsidRDefault="00481206" w:rsidP="00CF0F4C">
            <w:pPr>
              <w:ind w:firstLineChars="200" w:firstLine="643"/>
              <w:jc w:val="left"/>
              <w:rPr>
                <w:rFonts w:ascii="宋体" w:hAnsi="宋体" w:cs="宋体"/>
                <w:b/>
                <w:bCs/>
                <w:sz w:val="32"/>
                <w:szCs w:val="32"/>
              </w:rPr>
            </w:pPr>
            <w:r w:rsidRPr="00481206">
              <w:rPr>
                <w:rFonts w:ascii="宋体" w:hAnsi="宋体" w:cs="宋体" w:hint="eastAsia"/>
                <w:b/>
                <w:bCs/>
                <w:sz w:val="32"/>
                <w:szCs w:val="32"/>
              </w:rPr>
              <w:t>答疑地点：周二B二阶；周四B-阶</w:t>
            </w:r>
          </w:p>
          <w:p w:rsidR="00481206" w:rsidRPr="00481206" w:rsidRDefault="00481206" w:rsidP="00CF0F4C">
            <w:pPr>
              <w:ind w:firstLineChars="200" w:firstLine="643"/>
              <w:jc w:val="left"/>
              <w:rPr>
                <w:rFonts w:ascii="宋体" w:hAnsi="宋体" w:cs="宋体"/>
                <w:b/>
                <w:bCs/>
                <w:sz w:val="32"/>
                <w:szCs w:val="32"/>
              </w:rPr>
            </w:pPr>
            <w:r w:rsidRPr="00481206">
              <w:rPr>
                <w:rFonts w:ascii="宋体" w:hAnsi="宋体" w:cs="宋体" w:hint="eastAsia"/>
                <w:b/>
                <w:bCs/>
                <w:sz w:val="32"/>
                <w:szCs w:val="32"/>
              </w:rPr>
              <w:t>授课班级：</w:t>
            </w:r>
            <w:r w:rsidRPr="00481206">
              <w:rPr>
                <w:rFonts w:ascii="宋体" w:hAnsi="宋体" w:cs="宋体" w:hint="eastAsia"/>
                <w:b/>
                <w:sz w:val="32"/>
                <w:szCs w:val="32"/>
              </w:rPr>
              <w:t>经贸20141-5班</w:t>
            </w:r>
          </w:p>
          <w:p w:rsidR="00481206" w:rsidRPr="00481206" w:rsidRDefault="00481206" w:rsidP="00CF0F4C">
            <w:pPr>
              <w:ind w:firstLineChars="200" w:firstLine="643"/>
              <w:jc w:val="left"/>
              <w:rPr>
                <w:rFonts w:ascii="宋体" w:hAnsi="宋体" w:cs="宋体"/>
                <w:b/>
                <w:bCs/>
                <w:sz w:val="32"/>
                <w:szCs w:val="32"/>
              </w:rPr>
            </w:pPr>
            <w:r w:rsidRPr="00481206">
              <w:rPr>
                <w:rFonts w:ascii="宋体" w:hAnsi="宋体" w:cs="宋体" w:hint="eastAsia"/>
                <w:b/>
                <w:bCs/>
                <w:sz w:val="32"/>
                <w:szCs w:val="32"/>
              </w:rPr>
              <w:t>任课教师：罗洎</w:t>
            </w:r>
          </w:p>
          <w:p w:rsidR="00481206" w:rsidRPr="00481206" w:rsidRDefault="00481206" w:rsidP="00CF0F4C">
            <w:pPr>
              <w:ind w:firstLineChars="200" w:firstLine="643"/>
              <w:jc w:val="left"/>
              <w:rPr>
                <w:rFonts w:ascii="宋体" w:hAnsi="宋体" w:cs="宋体"/>
                <w:b/>
                <w:bCs/>
                <w:sz w:val="32"/>
                <w:szCs w:val="32"/>
              </w:rPr>
            </w:pPr>
            <w:r w:rsidRPr="00481206">
              <w:rPr>
                <w:rFonts w:ascii="宋体" w:hAnsi="宋体" w:cs="宋体" w:hint="eastAsia"/>
                <w:b/>
                <w:bCs/>
                <w:sz w:val="32"/>
                <w:szCs w:val="32"/>
              </w:rPr>
              <w:t>学    院：经济学院</w:t>
            </w:r>
          </w:p>
          <w:p w:rsidR="00481206" w:rsidRPr="00481206" w:rsidRDefault="00481206" w:rsidP="00CF0F4C">
            <w:pPr>
              <w:ind w:firstLineChars="200" w:firstLine="643"/>
              <w:jc w:val="left"/>
              <w:rPr>
                <w:rFonts w:ascii="宋体" w:hAnsi="宋体" w:cs="宋体"/>
                <w:b/>
                <w:bCs/>
                <w:sz w:val="32"/>
                <w:szCs w:val="32"/>
              </w:rPr>
            </w:pPr>
            <w:r w:rsidRPr="00481206">
              <w:rPr>
                <w:rFonts w:ascii="宋体" w:hAnsi="宋体" w:cs="宋体" w:hint="eastAsia"/>
                <w:b/>
                <w:bCs/>
                <w:sz w:val="32"/>
                <w:szCs w:val="32"/>
              </w:rPr>
              <w:t>邮    箱：35348533@qq.cm</w:t>
            </w:r>
          </w:p>
          <w:p w:rsidR="00481206" w:rsidRPr="00481206" w:rsidRDefault="00481206" w:rsidP="00CF0F4C">
            <w:pPr>
              <w:ind w:firstLineChars="200" w:firstLine="643"/>
              <w:jc w:val="left"/>
              <w:rPr>
                <w:rFonts w:ascii="宋体" w:hAnsi="宋体" w:cs="宋体"/>
                <w:b/>
                <w:bCs/>
                <w:sz w:val="32"/>
                <w:szCs w:val="32"/>
              </w:rPr>
            </w:pPr>
            <w:r w:rsidRPr="00481206">
              <w:rPr>
                <w:rFonts w:ascii="宋体" w:hAnsi="宋体" w:cs="宋体" w:hint="eastAsia"/>
                <w:b/>
                <w:bCs/>
                <w:sz w:val="32"/>
                <w:szCs w:val="32"/>
              </w:rPr>
              <w:t>联系电话：13558905661</w:t>
            </w:r>
          </w:p>
          <w:p w:rsidR="00481206" w:rsidRPr="00481206" w:rsidRDefault="00481206" w:rsidP="00CF0F4C">
            <w:pPr>
              <w:ind w:firstLineChars="200" w:firstLine="640"/>
              <w:jc w:val="left"/>
              <w:rPr>
                <w:rFonts w:ascii="宋体" w:hAnsi="宋体" w:cs="宋体"/>
                <w:bCs/>
                <w:sz w:val="32"/>
                <w:szCs w:val="32"/>
              </w:rPr>
            </w:pPr>
          </w:p>
        </w:tc>
      </w:tr>
    </w:tbl>
    <w:p w:rsidR="00481206" w:rsidRPr="00481206" w:rsidRDefault="00481206" w:rsidP="00481206">
      <w:pPr>
        <w:spacing w:line="400" w:lineRule="exact"/>
        <w:rPr>
          <w:rFonts w:ascii="宋体" w:hAnsi="宋体" w:cs="宋体"/>
          <w:b/>
          <w:sz w:val="44"/>
          <w:szCs w:val="44"/>
        </w:rPr>
      </w:pPr>
    </w:p>
    <w:p w:rsidR="00481206" w:rsidRPr="00481206" w:rsidRDefault="00481206" w:rsidP="00481206">
      <w:pPr>
        <w:spacing w:line="400" w:lineRule="exact"/>
        <w:rPr>
          <w:rFonts w:ascii="宋体" w:hAnsi="宋体" w:cs="宋体"/>
          <w:b/>
          <w:sz w:val="44"/>
          <w:szCs w:val="44"/>
        </w:rPr>
      </w:pPr>
    </w:p>
    <w:p w:rsidR="00481206" w:rsidRPr="00481206" w:rsidRDefault="00481206" w:rsidP="00481206">
      <w:pPr>
        <w:spacing w:line="400" w:lineRule="exact"/>
        <w:jc w:val="center"/>
        <w:rPr>
          <w:rFonts w:ascii="宋体" w:hAnsi="宋体" w:cs="宋体"/>
          <w:b/>
          <w:sz w:val="44"/>
          <w:szCs w:val="44"/>
        </w:rPr>
      </w:pPr>
      <w:r w:rsidRPr="00481206">
        <w:rPr>
          <w:rFonts w:ascii="宋体" w:hAnsi="宋体" w:cs="宋体" w:hint="eastAsia"/>
          <w:b/>
          <w:sz w:val="44"/>
          <w:szCs w:val="44"/>
        </w:rPr>
        <w:t>目 录</w:t>
      </w:r>
    </w:p>
    <w:p w:rsidR="00481206" w:rsidRPr="00481206" w:rsidRDefault="00481206" w:rsidP="00481206">
      <w:pPr>
        <w:spacing w:line="400" w:lineRule="exact"/>
        <w:jc w:val="center"/>
        <w:rPr>
          <w:rFonts w:ascii="宋体" w:hAnsi="宋体" w:cs="宋体"/>
          <w:b/>
          <w:sz w:val="44"/>
          <w:szCs w:val="44"/>
        </w:rPr>
      </w:pPr>
    </w:p>
    <w:p w:rsidR="00EC4F35" w:rsidRDefault="00EF6E22">
      <w:pPr>
        <w:pStyle w:val="20"/>
        <w:tabs>
          <w:tab w:val="right" w:leader="dot" w:pos="9062"/>
        </w:tabs>
        <w:rPr>
          <w:rFonts w:asciiTheme="minorHAnsi" w:eastAsiaTheme="minorEastAsia" w:hAnsiTheme="minorHAnsi" w:cstheme="minorBidi"/>
          <w:noProof/>
          <w:szCs w:val="22"/>
        </w:rPr>
      </w:pPr>
      <w:r w:rsidRPr="00EF6E22">
        <w:rPr>
          <w:rFonts w:ascii="宋体" w:hAnsi="宋体" w:cs="宋体" w:hint="eastAsia"/>
          <w:sz w:val="24"/>
        </w:rPr>
        <w:fldChar w:fldCharType="begin"/>
      </w:r>
      <w:r w:rsidR="00481206" w:rsidRPr="00481206">
        <w:rPr>
          <w:rFonts w:ascii="宋体" w:hAnsi="宋体" w:cs="宋体" w:hint="eastAsia"/>
          <w:sz w:val="24"/>
        </w:rPr>
        <w:instrText xml:space="preserve">TOC \o "1-3" \h \u </w:instrText>
      </w:r>
      <w:r w:rsidRPr="00EF6E22">
        <w:rPr>
          <w:rFonts w:ascii="宋体" w:hAnsi="宋体" w:cs="宋体" w:hint="eastAsia"/>
          <w:sz w:val="24"/>
        </w:rPr>
        <w:fldChar w:fldCharType="separate"/>
      </w:r>
      <w:hyperlink w:anchor="_Toc474271553" w:history="1">
        <w:r w:rsidR="00EC4F35" w:rsidRPr="004478D6">
          <w:rPr>
            <w:rStyle w:val="a6"/>
            <w:rFonts w:ascii="黑体" w:hAnsi="黑体" w:cs="宋体"/>
            <w:noProof/>
          </w:rPr>
          <w:t>1</w:t>
        </w:r>
        <w:r w:rsidR="00EC4F35" w:rsidRPr="004478D6">
          <w:rPr>
            <w:rStyle w:val="a6"/>
            <w:rFonts w:ascii="黑体" w:hAnsi="黑体" w:cs="宋体" w:hint="eastAsia"/>
            <w:noProof/>
          </w:rPr>
          <w:t>教学理念</w:t>
        </w:r>
        <w:r w:rsidR="00EC4F35">
          <w:rPr>
            <w:noProof/>
          </w:rPr>
          <w:tab/>
        </w:r>
        <w:r>
          <w:rPr>
            <w:noProof/>
          </w:rPr>
          <w:fldChar w:fldCharType="begin"/>
        </w:r>
        <w:r w:rsidR="00EC4F35">
          <w:rPr>
            <w:noProof/>
          </w:rPr>
          <w:instrText xml:space="preserve"> PAGEREF _Toc474271553 \h </w:instrText>
        </w:r>
        <w:r>
          <w:rPr>
            <w:noProof/>
          </w:rPr>
        </w:r>
        <w:r>
          <w:rPr>
            <w:noProof/>
          </w:rPr>
          <w:fldChar w:fldCharType="separate"/>
        </w:r>
        <w:r w:rsidR="00EC4F35">
          <w:rPr>
            <w:noProof/>
          </w:rPr>
          <w:t>1</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554" w:history="1">
        <w:r w:rsidR="00EC4F35" w:rsidRPr="004478D6">
          <w:rPr>
            <w:rStyle w:val="a6"/>
            <w:rFonts w:ascii="宋体" w:hAnsi="宋体" w:cs="宋体"/>
            <w:noProof/>
          </w:rPr>
          <w:t>1.1</w:t>
        </w:r>
        <w:r w:rsidR="00EC4F35" w:rsidRPr="004478D6">
          <w:rPr>
            <w:rStyle w:val="a6"/>
            <w:rFonts w:ascii="宋体" w:hAnsi="宋体" w:cs="宋体" w:hint="eastAsia"/>
            <w:noProof/>
          </w:rPr>
          <w:t>关注学生的发展</w:t>
        </w:r>
        <w:r w:rsidR="00EC4F35">
          <w:rPr>
            <w:noProof/>
          </w:rPr>
          <w:tab/>
        </w:r>
        <w:r>
          <w:rPr>
            <w:noProof/>
          </w:rPr>
          <w:fldChar w:fldCharType="begin"/>
        </w:r>
        <w:r w:rsidR="00EC4F35">
          <w:rPr>
            <w:noProof/>
          </w:rPr>
          <w:instrText xml:space="preserve"> PAGEREF _Toc474271554 \h </w:instrText>
        </w:r>
        <w:r>
          <w:rPr>
            <w:noProof/>
          </w:rPr>
        </w:r>
        <w:r>
          <w:rPr>
            <w:noProof/>
          </w:rPr>
          <w:fldChar w:fldCharType="separate"/>
        </w:r>
        <w:r w:rsidR="00EC4F35">
          <w:rPr>
            <w:noProof/>
          </w:rPr>
          <w:t>1</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555" w:history="1">
        <w:r w:rsidR="00EC4F35" w:rsidRPr="004478D6">
          <w:rPr>
            <w:rStyle w:val="a6"/>
            <w:rFonts w:ascii="宋体" w:hAnsi="宋体" w:cs="宋体"/>
            <w:noProof/>
          </w:rPr>
          <w:t>1.2</w:t>
        </w:r>
        <w:r w:rsidR="00EC4F35" w:rsidRPr="004478D6">
          <w:rPr>
            <w:rStyle w:val="a6"/>
            <w:rFonts w:ascii="宋体" w:hAnsi="宋体" w:cs="宋体" w:hint="eastAsia"/>
            <w:noProof/>
          </w:rPr>
          <w:t>关注教学的有效性</w:t>
        </w:r>
        <w:r w:rsidR="00EC4F35">
          <w:rPr>
            <w:noProof/>
          </w:rPr>
          <w:tab/>
        </w:r>
        <w:r>
          <w:rPr>
            <w:noProof/>
          </w:rPr>
          <w:fldChar w:fldCharType="begin"/>
        </w:r>
        <w:r w:rsidR="00EC4F35">
          <w:rPr>
            <w:noProof/>
          </w:rPr>
          <w:instrText xml:space="preserve"> PAGEREF _Toc474271555 \h </w:instrText>
        </w:r>
        <w:r>
          <w:rPr>
            <w:noProof/>
          </w:rPr>
        </w:r>
        <w:r>
          <w:rPr>
            <w:noProof/>
          </w:rPr>
          <w:fldChar w:fldCharType="separate"/>
        </w:r>
        <w:r w:rsidR="00EC4F35">
          <w:rPr>
            <w:noProof/>
          </w:rPr>
          <w:t>1</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556" w:history="1">
        <w:r w:rsidR="00EC4F35" w:rsidRPr="004478D6">
          <w:rPr>
            <w:rStyle w:val="a6"/>
            <w:rFonts w:ascii="宋体" w:hAnsi="宋体" w:cs="宋体"/>
            <w:noProof/>
          </w:rPr>
          <w:t>1.3</w:t>
        </w:r>
        <w:r w:rsidR="00EC4F35" w:rsidRPr="004478D6">
          <w:rPr>
            <w:rStyle w:val="a6"/>
            <w:rFonts w:ascii="宋体" w:hAnsi="宋体" w:cs="宋体" w:hint="eastAsia"/>
            <w:noProof/>
          </w:rPr>
          <w:t>关注教学的策略</w:t>
        </w:r>
        <w:r w:rsidR="00EC4F35">
          <w:rPr>
            <w:noProof/>
          </w:rPr>
          <w:tab/>
        </w:r>
        <w:r>
          <w:rPr>
            <w:noProof/>
          </w:rPr>
          <w:fldChar w:fldCharType="begin"/>
        </w:r>
        <w:r w:rsidR="00EC4F35">
          <w:rPr>
            <w:noProof/>
          </w:rPr>
          <w:instrText xml:space="preserve"> PAGEREF _Toc474271556 \h </w:instrText>
        </w:r>
        <w:r>
          <w:rPr>
            <w:noProof/>
          </w:rPr>
        </w:r>
        <w:r>
          <w:rPr>
            <w:noProof/>
          </w:rPr>
          <w:fldChar w:fldCharType="separate"/>
        </w:r>
        <w:r w:rsidR="00EC4F35">
          <w:rPr>
            <w:noProof/>
          </w:rPr>
          <w:t>1</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557" w:history="1">
        <w:r w:rsidR="00EC4F35" w:rsidRPr="004478D6">
          <w:rPr>
            <w:rStyle w:val="a6"/>
            <w:rFonts w:ascii="宋体" w:hAnsi="宋体" w:cs="宋体"/>
            <w:noProof/>
          </w:rPr>
          <w:t>1.4</w:t>
        </w:r>
        <w:r w:rsidR="00EC4F35" w:rsidRPr="004478D6">
          <w:rPr>
            <w:rStyle w:val="a6"/>
            <w:rFonts w:ascii="宋体" w:hAnsi="宋体" w:cs="宋体" w:hint="eastAsia"/>
            <w:noProof/>
          </w:rPr>
          <w:t>关注教学价值观</w:t>
        </w:r>
        <w:r w:rsidR="00EC4F35">
          <w:rPr>
            <w:noProof/>
          </w:rPr>
          <w:tab/>
        </w:r>
        <w:r>
          <w:rPr>
            <w:noProof/>
          </w:rPr>
          <w:fldChar w:fldCharType="begin"/>
        </w:r>
        <w:r w:rsidR="00EC4F35">
          <w:rPr>
            <w:noProof/>
          </w:rPr>
          <w:instrText xml:space="preserve"> PAGEREF _Toc474271557 \h </w:instrText>
        </w:r>
        <w:r>
          <w:rPr>
            <w:noProof/>
          </w:rPr>
        </w:r>
        <w:r>
          <w:rPr>
            <w:noProof/>
          </w:rPr>
          <w:fldChar w:fldCharType="separate"/>
        </w:r>
        <w:r w:rsidR="00EC4F35">
          <w:rPr>
            <w:noProof/>
          </w:rPr>
          <w:t>1</w:t>
        </w:r>
        <w:r>
          <w:rPr>
            <w:noProof/>
          </w:rPr>
          <w:fldChar w:fldCharType="end"/>
        </w:r>
      </w:hyperlink>
    </w:p>
    <w:p w:rsidR="00EC4F35" w:rsidRDefault="00EF6E22">
      <w:pPr>
        <w:pStyle w:val="20"/>
        <w:tabs>
          <w:tab w:val="right" w:leader="dot" w:pos="9062"/>
        </w:tabs>
        <w:rPr>
          <w:rFonts w:asciiTheme="minorHAnsi" w:eastAsiaTheme="minorEastAsia" w:hAnsiTheme="minorHAnsi" w:cstheme="minorBidi"/>
          <w:noProof/>
          <w:szCs w:val="22"/>
        </w:rPr>
      </w:pPr>
      <w:hyperlink w:anchor="_Toc474271558" w:history="1">
        <w:r w:rsidR="00EC4F35" w:rsidRPr="004478D6">
          <w:rPr>
            <w:rStyle w:val="a6"/>
            <w:rFonts w:ascii="黑体" w:hAnsi="黑体" w:cs="宋体"/>
            <w:noProof/>
          </w:rPr>
          <w:t xml:space="preserve">2 </w:t>
        </w:r>
        <w:r w:rsidR="00EC4F35" w:rsidRPr="004478D6">
          <w:rPr>
            <w:rStyle w:val="a6"/>
            <w:rFonts w:ascii="黑体" w:hAnsi="黑体" w:cs="宋体" w:hint="eastAsia"/>
            <w:noProof/>
          </w:rPr>
          <w:t>课程介绍</w:t>
        </w:r>
        <w:r w:rsidR="00EC4F35">
          <w:rPr>
            <w:noProof/>
          </w:rPr>
          <w:tab/>
        </w:r>
        <w:r>
          <w:rPr>
            <w:noProof/>
          </w:rPr>
          <w:fldChar w:fldCharType="begin"/>
        </w:r>
        <w:r w:rsidR="00EC4F35">
          <w:rPr>
            <w:noProof/>
          </w:rPr>
          <w:instrText xml:space="preserve"> PAGEREF _Toc474271558 \h </w:instrText>
        </w:r>
        <w:r>
          <w:rPr>
            <w:noProof/>
          </w:rPr>
        </w:r>
        <w:r>
          <w:rPr>
            <w:noProof/>
          </w:rPr>
          <w:fldChar w:fldCharType="separate"/>
        </w:r>
        <w:r w:rsidR="00EC4F35">
          <w:rPr>
            <w:noProof/>
          </w:rPr>
          <w:t>2</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559" w:history="1">
        <w:r w:rsidR="00EC4F35" w:rsidRPr="004478D6">
          <w:rPr>
            <w:rStyle w:val="a6"/>
            <w:rFonts w:ascii="宋体" w:hAnsi="宋体" w:cs="宋体"/>
            <w:noProof/>
          </w:rPr>
          <w:t>2.1</w:t>
        </w:r>
        <w:r w:rsidR="00EC4F35" w:rsidRPr="004478D6">
          <w:rPr>
            <w:rStyle w:val="a6"/>
            <w:rFonts w:ascii="宋体" w:hAnsi="宋体" w:cs="宋体" w:hint="eastAsia"/>
            <w:noProof/>
          </w:rPr>
          <w:t>课程的性质</w:t>
        </w:r>
        <w:r w:rsidR="00EC4F35">
          <w:rPr>
            <w:noProof/>
          </w:rPr>
          <w:tab/>
        </w:r>
        <w:r>
          <w:rPr>
            <w:noProof/>
          </w:rPr>
          <w:fldChar w:fldCharType="begin"/>
        </w:r>
        <w:r w:rsidR="00EC4F35">
          <w:rPr>
            <w:noProof/>
          </w:rPr>
          <w:instrText xml:space="preserve"> PAGEREF _Toc474271559 \h </w:instrText>
        </w:r>
        <w:r>
          <w:rPr>
            <w:noProof/>
          </w:rPr>
        </w:r>
        <w:r>
          <w:rPr>
            <w:noProof/>
          </w:rPr>
          <w:fldChar w:fldCharType="separate"/>
        </w:r>
        <w:r w:rsidR="00EC4F35">
          <w:rPr>
            <w:noProof/>
          </w:rPr>
          <w:t>2</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560" w:history="1">
        <w:r w:rsidR="00EC4F35" w:rsidRPr="004478D6">
          <w:rPr>
            <w:rStyle w:val="a6"/>
            <w:rFonts w:ascii="宋体" w:hAnsi="宋体"/>
            <w:noProof/>
          </w:rPr>
          <w:t>2.2</w:t>
        </w:r>
        <w:r w:rsidR="00EC4F35" w:rsidRPr="004478D6">
          <w:rPr>
            <w:rStyle w:val="a6"/>
            <w:rFonts w:ascii="宋体" w:hAnsi="宋体" w:hint="eastAsia"/>
            <w:noProof/>
          </w:rPr>
          <w:t>课程在学科专业结构中的地位、作用</w:t>
        </w:r>
        <w:r w:rsidR="00EC4F35">
          <w:rPr>
            <w:noProof/>
          </w:rPr>
          <w:tab/>
        </w:r>
        <w:r>
          <w:rPr>
            <w:noProof/>
          </w:rPr>
          <w:fldChar w:fldCharType="begin"/>
        </w:r>
        <w:r w:rsidR="00EC4F35">
          <w:rPr>
            <w:noProof/>
          </w:rPr>
          <w:instrText xml:space="preserve"> PAGEREF _Toc474271560 \h </w:instrText>
        </w:r>
        <w:r>
          <w:rPr>
            <w:noProof/>
          </w:rPr>
        </w:r>
        <w:r>
          <w:rPr>
            <w:noProof/>
          </w:rPr>
          <w:fldChar w:fldCharType="separate"/>
        </w:r>
        <w:r w:rsidR="00EC4F35">
          <w:rPr>
            <w:noProof/>
          </w:rPr>
          <w:t>2</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561" w:history="1">
        <w:r w:rsidR="00EC4F35" w:rsidRPr="004478D6">
          <w:rPr>
            <w:rStyle w:val="a6"/>
            <w:rFonts w:ascii="宋体" w:hAnsi="宋体" w:cs="宋体"/>
            <w:noProof/>
          </w:rPr>
          <w:t>2.3</w:t>
        </w:r>
        <w:r w:rsidR="00EC4F35" w:rsidRPr="004478D6">
          <w:rPr>
            <w:rStyle w:val="a6"/>
            <w:rFonts w:ascii="宋体" w:hAnsi="宋体" w:cs="宋体" w:hint="eastAsia"/>
            <w:noProof/>
          </w:rPr>
          <w:t>课程的历史与文化传统</w:t>
        </w:r>
        <w:r w:rsidR="00EC4F35">
          <w:rPr>
            <w:noProof/>
          </w:rPr>
          <w:tab/>
        </w:r>
        <w:r>
          <w:rPr>
            <w:noProof/>
          </w:rPr>
          <w:fldChar w:fldCharType="begin"/>
        </w:r>
        <w:r w:rsidR="00EC4F35">
          <w:rPr>
            <w:noProof/>
          </w:rPr>
          <w:instrText xml:space="preserve"> PAGEREF _Toc474271561 \h </w:instrText>
        </w:r>
        <w:r>
          <w:rPr>
            <w:noProof/>
          </w:rPr>
        </w:r>
        <w:r>
          <w:rPr>
            <w:noProof/>
          </w:rPr>
          <w:fldChar w:fldCharType="separate"/>
        </w:r>
        <w:r w:rsidR="00EC4F35">
          <w:rPr>
            <w:noProof/>
          </w:rPr>
          <w:t>3</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562" w:history="1">
        <w:r w:rsidR="00EC4F35" w:rsidRPr="004478D6">
          <w:rPr>
            <w:rStyle w:val="a6"/>
            <w:rFonts w:ascii="宋体" w:hAnsi="宋体" w:cs="宋体"/>
            <w:noProof/>
          </w:rPr>
          <w:t>2.4</w:t>
        </w:r>
        <w:r w:rsidR="00EC4F35" w:rsidRPr="004478D6">
          <w:rPr>
            <w:rStyle w:val="a6"/>
            <w:rFonts w:ascii="宋体" w:hAnsi="宋体" w:cs="宋体" w:hint="eastAsia"/>
            <w:noProof/>
          </w:rPr>
          <w:t>课程的前沿及发展趋势</w:t>
        </w:r>
        <w:r w:rsidR="00EC4F35">
          <w:rPr>
            <w:noProof/>
          </w:rPr>
          <w:tab/>
        </w:r>
        <w:r>
          <w:rPr>
            <w:noProof/>
          </w:rPr>
          <w:fldChar w:fldCharType="begin"/>
        </w:r>
        <w:r w:rsidR="00EC4F35">
          <w:rPr>
            <w:noProof/>
          </w:rPr>
          <w:instrText xml:space="preserve"> PAGEREF _Toc474271562 \h </w:instrText>
        </w:r>
        <w:r>
          <w:rPr>
            <w:noProof/>
          </w:rPr>
        </w:r>
        <w:r>
          <w:rPr>
            <w:noProof/>
          </w:rPr>
          <w:fldChar w:fldCharType="separate"/>
        </w:r>
        <w:r w:rsidR="00EC4F35">
          <w:rPr>
            <w:noProof/>
          </w:rPr>
          <w:t>9</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563" w:history="1">
        <w:r w:rsidR="00EC4F35" w:rsidRPr="004478D6">
          <w:rPr>
            <w:rStyle w:val="a6"/>
            <w:rFonts w:ascii="宋体" w:hAnsi="宋体" w:cs="宋体"/>
            <w:noProof/>
          </w:rPr>
          <w:t>2.5</w:t>
        </w:r>
        <w:r w:rsidR="00EC4F35" w:rsidRPr="004478D6">
          <w:rPr>
            <w:rStyle w:val="a6"/>
            <w:rFonts w:hint="eastAsia"/>
            <w:noProof/>
          </w:rPr>
          <w:t>课程与经济社会发展的关系</w:t>
        </w:r>
        <w:r w:rsidR="00EC4F35">
          <w:rPr>
            <w:noProof/>
          </w:rPr>
          <w:tab/>
        </w:r>
        <w:r>
          <w:rPr>
            <w:noProof/>
          </w:rPr>
          <w:fldChar w:fldCharType="begin"/>
        </w:r>
        <w:r w:rsidR="00EC4F35">
          <w:rPr>
            <w:noProof/>
          </w:rPr>
          <w:instrText xml:space="preserve"> PAGEREF _Toc474271563 \h </w:instrText>
        </w:r>
        <w:r>
          <w:rPr>
            <w:noProof/>
          </w:rPr>
        </w:r>
        <w:r>
          <w:rPr>
            <w:noProof/>
          </w:rPr>
          <w:fldChar w:fldCharType="separate"/>
        </w:r>
        <w:r w:rsidR="00EC4F35">
          <w:rPr>
            <w:noProof/>
          </w:rPr>
          <w:t>9</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564" w:history="1">
        <w:r w:rsidR="00EC4F35" w:rsidRPr="004478D6">
          <w:rPr>
            <w:rStyle w:val="a6"/>
            <w:rFonts w:ascii="宋体" w:hAnsi="宋体" w:cs="宋体"/>
            <w:noProof/>
          </w:rPr>
          <w:t>2.6</w:t>
        </w:r>
        <w:r w:rsidR="00EC4F35" w:rsidRPr="004478D6">
          <w:rPr>
            <w:rStyle w:val="a6"/>
            <w:rFonts w:hint="eastAsia"/>
            <w:noProof/>
          </w:rPr>
          <w:t>课程内容可能涉及到的伦理与道德问题</w:t>
        </w:r>
        <w:r w:rsidR="00EC4F35">
          <w:rPr>
            <w:noProof/>
          </w:rPr>
          <w:tab/>
        </w:r>
        <w:r>
          <w:rPr>
            <w:noProof/>
          </w:rPr>
          <w:fldChar w:fldCharType="begin"/>
        </w:r>
        <w:r w:rsidR="00EC4F35">
          <w:rPr>
            <w:noProof/>
          </w:rPr>
          <w:instrText xml:space="preserve"> PAGEREF _Toc474271564 \h </w:instrText>
        </w:r>
        <w:r>
          <w:rPr>
            <w:noProof/>
          </w:rPr>
        </w:r>
        <w:r>
          <w:rPr>
            <w:noProof/>
          </w:rPr>
          <w:fldChar w:fldCharType="separate"/>
        </w:r>
        <w:r w:rsidR="00EC4F35">
          <w:rPr>
            <w:noProof/>
          </w:rPr>
          <w:t>14</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565" w:history="1">
        <w:r w:rsidR="00EC4F35" w:rsidRPr="004478D6">
          <w:rPr>
            <w:rStyle w:val="a6"/>
            <w:rFonts w:ascii="宋体" w:hAnsi="宋体" w:cs="宋体"/>
            <w:noProof/>
          </w:rPr>
          <w:t>2.7</w:t>
        </w:r>
        <w:r w:rsidR="00EC4F35" w:rsidRPr="004478D6">
          <w:rPr>
            <w:rStyle w:val="a6"/>
            <w:rFonts w:ascii="宋体" w:hAnsi="宋体" w:cs="宋体" w:hint="eastAsia"/>
            <w:noProof/>
          </w:rPr>
          <w:t>学习本课程的必要性</w:t>
        </w:r>
        <w:r w:rsidR="00EC4F35">
          <w:rPr>
            <w:noProof/>
          </w:rPr>
          <w:tab/>
        </w:r>
        <w:r>
          <w:rPr>
            <w:noProof/>
          </w:rPr>
          <w:fldChar w:fldCharType="begin"/>
        </w:r>
        <w:r w:rsidR="00EC4F35">
          <w:rPr>
            <w:noProof/>
          </w:rPr>
          <w:instrText xml:space="preserve"> PAGEREF _Toc474271565 \h </w:instrText>
        </w:r>
        <w:r>
          <w:rPr>
            <w:noProof/>
          </w:rPr>
        </w:r>
        <w:r>
          <w:rPr>
            <w:noProof/>
          </w:rPr>
          <w:fldChar w:fldCharType="separate"/>
        </w:r>
        <w:r w:rsidR="00EC4F35">
          <w:rPr>
            <w:noProof/>
          </w:rPr>
          <w:t>19</w:t>
        </w:r>
        <w:r>
          <w:rPr>
            <w:noProof/>
          </w:rPr>
          <w:fldChar w:fldCharType="end"/>
        </w:r>
      </w:hyperlink>
    </w:p>
    <w:p w:rsidR="00EC4F35" w:rsidRDefault="00EF6E22">
      <w:pPr>
        <w:pStyle w:val="20"/>
        <w:tabs>
          <w:tab w:val="right" w:leader="dot" w:pos="9062"/>
        </w:tabs>
        <w:rPr>
          <w:rFonts w:asciiTheme="minorHAnsi" w:eastAsiaTheme="minorEastAsia" w:hAnsiTheme="minorHAnsi" w:cstheme="minorBidi"/>
          <w:noProof/>
          <w:szCs w:val="22"/>
        </w:rPr>
      </w:pPr>
      <w:hyperlink w:anchor="_Toc474271566" w:history="1">
        <w:r w:rsidR="00EC4F35" w:rsidRPr="004478D6">
          <w:rPr>
            <w:rStyle w:val="a6"/>
            <w:rFonts w:ascii="黑体" w:hAnsi="黑体" w:cs="宋体"/>
            <w:noProof/>
          </w:rPr>
          <w:t>3</w:t>
        </w:r>
        <w:r w:rsidR="00EC4F35" w:rsidRPr="004478D6">
          <w:rPr>
            <w:rStyle w:val="a6"/>
            <w:rFonts w:ascii="黑体" w:hAnsi="黑体" w:cs="宋体" w:hint="eastAsia"/>
            <w:noProof/>
          </w:rPr>
          <w:t>教师简介</w:t>
        </w:r>
        <w:r w:rsidR="00EC4F35">
          <w:rPr>
            <w:noProof/>
          </w:rPr>
          <w:tab/>
        </w:r>
        <w:r>
          <w:rPr>
            <w:noProof/>
          </w:rPr>
          <w:fldChar w:fldCharType="begin"/>
        </w:r>
        <w:r w:rsidR="00EC4F35">
          <w:rPr>
            <w:noProof/>
          </w:rPr>
          <w:instrText xml:space="preserve"> PAGEREF _Toc474271566 \h </w:instrText>
        </w:r>
        <w:r>
          <w:rPr>
            <w:noProof/>
          </w:rPr>
        </w:r>
        <w:r>
          <w:rPr>
            <w:noProof/>
          </w:rPr>
          <w:fldChar w:fldCharType="separate"/>
        </w:r>
        <w:r w:rsidR="00EC4F35">
          <w:rPr>
            <w:noProof/>
          </w:rPr>
          <w:t>20</w:t>
        </w:r>
        <w:r>
          <w:rPr>
            <w:noProof/>
          </w:rPr>
          <w:fldChar w:fldCharType="end"/>
        </w:r>
      </w:hyperlink>
    </w:p>
    <w:p w:rsidR="00EC4F35" w:rsidRDefault="00EF6E22">
      <w:pPr>
        <w:pStyle w:val="20"/>
        <w:tabs>
          <w:tab w:val="right" w:leader="dot" w:pos="9062"/>
        </w:tabs>
        <w:rPr>
          <w:rFonts w:asciiTheme="minorHAnsi" w:eastAsiaTheme="minorEastAsia" w:hAnsiTheme="minorHAnsi" w:cstheme="minorBidi"/>
          <w:noProof/>
          <w:szCs w:val="22"/>
        </w:rPr>
      </w:pPr>
      <w:hyperlink w:anchor="_Toc474271567" w:history="1">
        <w:r w:rsidR="00EC4F35" w:rsidRPr="004478D6">
          <w:rPr>
            <w:rStyle w:val="a6"/>
            <w:rFonts w:ascii="黑体" w:hAnsi="黑体"/>
            <w:noProof/>
          </w:rPr>
          <w:t>4</w:t>
        </w:r>
        <w:r w:rsidR="00EC4F35" w:rsidRPr="004478D6">
          <w:rPr>
            <w:rStyle w:val="a6"/>
            <w:rFonts w:ascii="黑体" w:hAnsi="黑体" w:hint="eastAsia"/>
            <w:noProof/>
          </w:rPr>
          <w:t>先修课程</w:t>
        </w:r>
        <w:r w:rsidR="00EC4F35">
          <w:rPr>
            <w:noProof/>
          </w:rPr>
          <w:tab/>
        </w:r>
        <w:r>
          <w:rPr>
            <w:noProof/>
          </w:rPr>
          <w:fldChar w:fldCharType="begin"/>
        </w:r>
        <w:r w:rsidR="00EC4F35">
          <w:rPr>
            <w:noProof/>
          </w:rPr>
          <w:instrText xml:space="preserve"> PAGEREF _Toc474271567 \h </w:instrText>
        </w:r>
        <w:r>
          <w:rPr>
            <w:noProof/>
          </w:rPr>
        </w:r>
        <w:r>
          <w:rPr>
            <w:noProof/>
          </w:rPr>
          <w:fldChar w:fldCharType="separate"/>
        </w:r>
        <w:r w:rsidR="00EC4F35">
          <w:rPr>
            <w:noProof/>
          </w:rPr>
          <w:t>21</w:t>
        </w:r>
        <w:r>
          <w:rPr>
            <w:noProof/>
          </w:rPr>
          <w:fldChar w:fldCharType="end"/>
        </w:r>
      </w:hyperlink>
    </w:p>
    <w:p w:rsidR="00EC4F35" w:rsidRDefault="00EF6E22">
      <w:pPr>
        <w:pStyle w:val="20"/>
        <w:tabs>
          <w:tab w:val="right" w:leader="dot" w:pos="9062"/>
        </w:tabs>
        <w:rPr>
          <w:rFonts w:asciiTheme="minorHAnsi" w:eastAsiaTheme="minorEastAsia" w:hAnsiTheme="minorHAnsi" w:cstheme="minorBidi"/>
          <w:noProof/>
          <w:szCs w:val="22"/>
        </w:rPr>
      </w:pPr>
      <w:hyperlink w:anchor="_Toc474271568" w:history="1">
        <w:r w:rsidR="00EC4F35" w:rsidRPr="004478D6">
          <w:rPr>
            <w:rStyle w:val="a6"/>
            <w:rFonts w:ascii="黑体" w:hAnsi="黑体" w:cs="宋体"/>
            <w:noProof/>
          </w:rPr>
          <w:t xml:space="preserve">5 </w:t>
        </w:r>
        <w:r w:rsidR="00EC4F35" w:rsidRPr="004478D6">
          <w:rPr>
            <w:rStyle w:val="a6"/>
            <w:rFonts w:ascii="黑体" w:hAnsi="黑体" w:cs="宋体" w:hint="eastAsia"/>
            <w:noProof/>
          </w:rPr>
          <w:t>课程目标</w:t>
        </w:r>
        <w:r w:rsidR="00EC4F35">
          <w:rPr>
            <w:noProof/>
          </w:rPr>
          <w:tab/>
        </w:r>
        <w:r>
          <w:rPr>
            <w:noProof/>
          </w:rPr>
          <w:fldChar w:fldCharType="begin"/>
        </w:r>
        <w:r w:rsidR="00EC4F35">
          <w:rPr>
            <w:noProof/>
          </w:rPr>
          <w:instrText xml:space="preserve"> PAGEREF _Toc474271568 \h </w:instrText>
        </w:r>
        <w:r>
          <w:rPr>
            <w:noProof/>
          </w:rPr>
        </w:r>
        <w:r>
          <w:rPr>
            <w:noProof/>
          </w:rPr>
          <w:fldChar w:fldCharType="separate"/>
        </w:r>
        <w:r w:rsidR="00EC4F35">
          <w:rPr>
            <w:noProof/>
          </w:rPr>
          <w:t>22</w:t>
        </w:r>
        <w:r>
          <w:rPr>
            <w:noProof/>
          </w:rPr>
          <w:fldChar w:fldCharType="end"/>
        </w:r>
      </w:hyperlink>
    </w:p>
    <w:p w:rsidR="00EC4F35" w:rsidRDefault="00EF6E22">
      <w:pPr>
        <w:pStyle w:val="20"/>
        <w:tabs>
          <w:tab w:val="right" w:leader="dot" w:pos="9062"/>
        </w:tabs>
        <w:rPr>
          <w:rFonts w:asciiTheme="minorHAnsi" w:eastAsiaTheme="minorEastAsia" w:hAnsiTheme="minorHAnsi" w:cstheme="minorBidi"/>
          <w:noProof/>
          <w:szCs w:val="22"/>
        </w:rPr>
      </w:pPr>
      <w:hyperlink w:anchor="_Toc474271569" w:history="1">
        <w:r w:rsidR="00EC4F35" w:rsidRPr="004478D6">
          <w:rPr>
            <w:rStyle w:val="a6"/>
            <w:rFonts w:ascii="黑体" w:hAnsi="黑体" w:cs="宋体"/>
            <w:noProof/>
          </w:rPr>
          <w:t xml:space="preserve">6 </w:t>
        </w:r>
        <w:r w:rsidR="00EC4F35" w:rsidRPr="004478D6">
          <w:rPr>
            <w:rStyle w:val="a6"/>
            <w:rFonts w:ascii="黑体" w:hAnsi="黑体" w:cs="宋体" w:hint="eastAsia"/>
            <w:noProof/>
          </w:rPr>
          <w:t>课程内容</w:t>
        </w:r>
        <w:r w:rsidR="00EC4F35">
          <w:rPr>
            <w:noProof/>
          </w:rPr>
          <w:tab/>
        </w:r>
        <w:r>
          <w:rPr>
            <w:noProof/>
          </w:rPr>
          <w:fldChar w:fldCharType="begin"/>
        </w:r>
        <w:r w:rsidR="00EC4F35">
          <w:rPr>
            <w:noProof/>
          </w:rPr>
          <w:instrText xml:space="preserve"> PAGEREF _Toc474271569 \h </w:instrText>
        </w:r>
        <w:r>
          <w:rPr>
            <w:noProof/>
          </w:rPr>
        </w:r>
        <w:r>
          <w:rPr>
            <w:noProof/>
          </w:rPr>
          <w:fldChar w:fldCharType="separate"/>
        </w:r>
        <w:r w:rsidR="00EC4F35">
          <w:rPr>
            <w:noProof/>
          </w:rPr>
          <w:t>23</w:t>
        </w:r>
        <w:r>
          <w:rPr>
            <w:noProof/>
          </w:rPr>
          <w:fldChar w:fldCharType="end"/>
        </w:r>
      </w:hyperlink>
    </w:p>
    <w:p w:rsidR="00EC4F35" w:rsidRDefault="00EF6E22">
      <w:pPr>
        <w:pStyle w:val="20"/>
        <w:tabs>
          <w:tab w:val="right" w:leader="dot" w:pos="9062"/>
        </w:tabs>
        <w:rPr>
          <w:rFonts w:asciiTheme="minorHAnsi" w:eastAsiaTheme="minorEastAsia" w:hAnsiTheme="minorHAnsi" w:cstheme="minorBidi"/>
          <w:noProof/>
          <w:szCs w:val="22"/>
        </w:rPr>
      </w:pPr>
      <w:hyperlink w:anchor="_Toc474271595" w:history="1">
        <w:r w:rsidR="00EC4F35" w:rsidRPr="004478D6">
          <w:rPr>
            <w:rStyle w:val="a6"/>
            <w:rFonts w:ascii="黑体" w:hAnsi="黑体"/>
            <w:noProof/>
          </w:rPr>
          <w:t xml:space="preserve">7 </w:t>
        </w:r>
        <w:r w:rsidR="00EC4F35" w:rsidRPr="004478D6">
          <w:rPr>
            <w:rStyle w:val="a6"/>
            <w:rFonts w:ascii="黑体" w:hAnsi="黑体" w:hint="eastAsia"/>
            <w:noProof/>
          </w:rPr>
          <w:t>课程实施</w:t>
        </w:r>
        <w:r w:rsidR="00EC4F35">
          <w:rPr>
            <w:noProof/>
          </w:rPr>
          <w:tab/>
        </w:r>
        <w:r>
          <w:rPr>
            <w:noProof/>
          </w:rPr>
          <w:fldChar w:fldCharType="begin"/>
        </w:r>
        <w:r w:rsidR="00EC4F35">
          <w:rPr>
            <w:noProof/>
          </w:rPr>
          <w:instrText xml:space="preserve"> PAGEREF _Toc474271595 \h </w:instrText>
        </w:r>
        <w:r>
          <w:rPr>
            <w:noProof/>
          </w:rPr>
        </w:r>
        <w:r>
          <w:rPr>
            <w:noProof/>
          </w:rPr>
          <w:fldChar w:fldCharType="separate"/>
        </w:r>
        <w:r w:rsidR="00EC4F35">
          <w:rPr>
            <w:noProof/>
          </w:rPr>
          <w:t>26</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596" w:history="1">
        <w:r w:rsidR="00EC4F35" w:rsidRPr="004478D6">
          <w:rPr>
            <w:rStyle w:val="a6"/>
            <w:rFonts w:ascii="宋体" w:hAnsi="宋体"/>
            <w:noProof/>
          </w:rPr>
          <w:t>7.1</w:t>
        </w:r>
        <w:r w:rsidR="00EC4F35" w:rsidRPr="004478D6">
          <w:rPr>
            <w:rStyle w:val="a6"/>
            <w:rFonts w:ascii="宋体" w:hAnsi="宋体" w:hint="eastAsia"/>
            <w:noProof/>
          </w:rPr>
          <w:t>第一单元（共</w:t>
        </w:r>
        <w:r w:rsidR="00EC4F35" w:rsidRPr="004478D6">
          <w:rPr>
            <w:rStyle w:val="a6"/>
            <w:rFonts w:ascii="宋体" w:hAnsi="宋体"/>
            <w:noProof/>
          </w:rPr>
          <w:t>1</w:t>
        </w:r>
        <w:r w:rsidR="00EC4F35" w:rsidRPr="004478D6">
          <w:rPr>
            <w:rStyle w:val="a6"/>
            <w:rFonts w:ascii="宋体" w:hAnsi="宋体" w:hint="eastAsia"/>
            <w:noProof/>
          </w:rPr>
          <w:t>讲）</w:t>
        </w:r>
        <w:r w:rsidR="00EC4F35">
          <w:rPr>
            <w:noProof/>
          </w:rPr>
          <w:tab/>
        </w:r>
        <w:r>
          <w:rPr>
            <w:noProof/>
          </w:rPr>
          <w:fldChar w:fldCharType="begin"/>
        </w:r>
        <w:r w:rsidR="00EC4F35">
          <w:rPr>
            <w:noProof/>
          </w:rPr>
          <w:instrText xml:space="preserve"> PAGEREF _Toc474271596 \h </w:instrText>
        </w:r>
        <w:r>
          <w:rPr>
            <w:noProof/>
          </w:rPr>
        </w:r>
        <w:r>
          <w:rPr>
            <w:noProof/>
          </w:rPr>
          <w:fldChar w:fldCharType="separate"/>
        </w:r>
        <w:r w:rsidR="00EC4F35">
          <w:rPr>
            <w:noProof/>
          </w:rPr>
          <w:t>26</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624" w:history="1">
        <w:r w:rsidR="00EC4F35" w:rsidRPr="004478D6">
          <w:rPr>
            <w:rStyle w:val="a6"/>
            <w:rFonts w:ascii="宋体" w:hAnsi="宋体" w:cs="宋体"/>
            <w:noProof/>
          </w:rPr>
          <w:t>7.2</w:t>
        </w:r>
        <w:r w:rsidR="00EC4F35" w:rsidRPr="004478D6">
          <w:rPr>
            <w:rStyle w:val="a6"/>
            <w:rFonts w:ascii="宋体" w:hAnsi="宋体" w:cs="宋体" w:hint="eastAsia"/>
            <w:noProof/>
          </w:rPr>
          <w:t>第二单元（共</w:t>
        </w:r>
        <w:r w:rsidR="00EC4F35" w:rsidRPr="004478D6">
          <w:rPr>
            <w:rStyle w:val="a6"/>
            <w:rFonts w:ascii="宋体" w:hAnsi="宋体" w:cs="宋体"/>
            <w:noProof/>
          </w:rPr>
          <w:t>3</w:t>
        </w:r>
        <w:r w:rsidR="00EC4F35" w:rsidRPr="004478D6">
          <w:rPr>
            <w:rStyle w:val="a6"/>
            <w:rFonts w:ascii="宋体" w:hAnsi="宋体" w:cs="宋体" w:hint="eastAsia"/>
            <w:noProof/>
          </w:rPr>
          <w:t>讲）</w:t>
        </w:r>
        <w:r w:rsidR="00EC4F35">
          <w:rPr>
            <w:noProof/>
          </w:rPr>
          <w:tab/>
        </w:r>
        <w:r>
          <w:rPr>
            <w:noProof/>
          </w:rPr>
          <w:fldChar w:fldCharType="begin"/>
        </w:r>
        <w:r w:rsidR="00EC4F35">
          <w:rPr>
            <w:noProof/>
          </w:rPr>
          <w:instrText xml:space="preserve"> PAGEREF _Toc474271624 \h </w:instrText>
        </w:r>
        <w:r>
          <w:rPr>
            <w:noProof/>
          </w:rPr>
        </w:r>
        <w:r>
          <w:rPr>
            <w:noProof/>
          </w:rPr>
          <w:fldChar w:fldCharType="separate"/>
        </w:r>
        <w:r w:rsidR="00EC4F35">
          <w:rPr>
            <w:noProof/>
          </w:rPr>
          <w:t>32</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682" w:history="1">
        <w:r w:rsidR="00EC4F35" w:rsidRPr="004478D6">
          <w:rPr>
            <w:rStyle w:val="a6"/>
            <w:rFonts w:ascii="宋体" w:hAnsi="宋体" w:cs="宋体"/>
            <w:noProof/>
          </w:rPr>
          <w:t>7.3</w:t>
        </w:r>
        <w:r w:rsidR="00EC4F35" w:rsidRPr="004478D6">
          <w:rPr>
            <w:rStyle w:val="a6"/>
            <w:rFonts w:ascii="宋体" w:hAnsi="宋体" w:cs="宋体" w:hint="eastAsia"/>
            <w:noProof/>
          </w:rPr>
          <w:t>第三单元（共</w:t>
        </w:r>
        <w:r w:rsidR="00EC4F35" w:rsidRPr="004478D6">
          <w:rPr>
            <w:rStyle w:val="a6"/>
            <w:rFonts w:ascii="宋体" w:hAnsi="宋体" w:cs="宋体"/>
            <w:noProof/>
          </w:rPr>
          <w:t>3</w:t>
        </w:r>
        <w:r w:rsidR="00EC4F35" w:rsidRPr="004478D6">
          <w:rPr>
            <w:rStyle w:val="a6"/>
            <w:rFonts w:ascii="宋体" w:hAnsi="宋体" w:cs="宋体" w:hint="eastAsia"/>
            <w:noProof/>
          </w:rPr>
          <w:t>讲）</w:t>
        </w:r>
        <w:r w:rsidR="00EC4F35">
          <w:rPr>
            <w:noProof/>
          </w:rPr>
          <w:tab/>
        </w:r>
        <w:r>
          <w:rPr>
            <w:noProof/>
          </w:rPr>
          <w:fldChar w:fldCharType="begin"/>
        </w:r>
        <w:r w:rsidR="00EC4F35">
          <w:rPr>
            <w:noProof/>
          </w:rPr>
          <w:instrText xml:space="preserve"> PAGEREF _Toc474271682 \h </w:instrText>
        </w:r>
        <w:r>
          <w:rPr>
            <w:noProof/>
          </w:rPr>
        </w:r>
        <w:r>
          <w:rPr>
            <w:noProof/>
          </w:rPr>
          <w:fldChar w:fldCharType="separate"/>
        </w:r>
        <w:r w:rsidR="00EC4F35">
          <w:rPr>
            <w:noProof/>
          </w:rPr>
          <w:t>51</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731" w:history="1">
        <w:r w:rsidR="00EC4F35" w:rsidRPr="004478D6">
          <w:rPr>
            <w:rStyle w:val="a6"/>
            <w:rFonts w:ascii="宋体" w:hAnsi="宋体" w:cs="宋体"/>
            <w:noProof/>
          </w:rPr>
          <w:t>7.4</w:t>
        </w:r>
        <w:r w:rsidR="00EC4F35" w:rsidRPr="004478D6">
          <w:rPr>
            <w:rStyle w:val="a6"/>
            <w:rFonts w:ascii="宋体" w:hAnsi="宋体" w:cs="宋体" w:hint="eastAsia"/>
            <w:noProof/>
          </w:rPr>
          <w:t>第四单元（共</w:t>
        </w:r>
        <w:r w:rsidR="00EC4F35" w:rsidRPr="004478D6">
          <w:rPr>
            <w:rStyle w:val="a6"/>
            <w:rFonts w:ascii="宋体" w:hAnsi="宋体" w:cs="宋体"/>
            <w:noProof/>
          </w:rPr>
          <w:t>3</w:t>
        </w:r>
        <w:r w:rsidR="00EC4F35" w:rsidRPr="004478D6">
          <w:rPr>
            <w:rStyle w:val="a6"/>
            <w:rFonts w:ascii="宋体" w:hAnsi="宋体" w:cs="宋体" w:hint="eastAsia"/>
            <w:noProof/>
          </w:rPr>
          <w:t>讲）</w:t>
        </w:r>
        <w:r w:rsidR="00EC4F35">
          <w:rPr>
            <w:noProof/>
          </w:rPr>
          <w:tab/>
        </w:r>
        <w:r>
          <w:rPr>
            <w:noProof/>
          </w:rPr>
          <w:fldChar w:fldCharType="begin"/>
        </w:r>
        <w:r w:rsidR="00EC4F35">
          <w:rPr>
            <w:noProof/>
          </w:rPr>
          <w:instrText xml:space="preserve"> PAGEREF _Toc474271731 \h </w:instrText>
        </w:r>
        <w:r>
          <w:rPr>
            <w:noProof/>
          </w:rPr>
        </w:r>
        <w:r>
          <w:rPr>
            <w:noProof/>
          </w:rPr>
          <w:fldChar w:fldCharType="separate"/>
        </w:r>
        <w:r w:rsidR="00EC4F35">
          <w:rPr>
            <w:noProof/>
          </w:rPr>
          <w:t>72</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772" w:history="1">
        <w:r w:rsidR="00EC4F35" w:rsidRPr="004478D6">
          <w:rPr>
            <w:rStyle w:val="a6"/>
            <w:rFonts w:ascii="宋体" w:hAnsi="宋体" w:cs="宋体"/>
            <w:noProof/>
          </w:rPr>
          <w:t>7.5</w:t>
        </w:r>
        <w:r w:rsidR="00EC4F35" w:rsidRPr="004478D6">
          <w:rPr>
            <w:rStyle w:val="a6"/>
            <w:rFonts w:ascii="宋体" w:hAnsi="宋体" w:cs="宋体" w:hint="eastAsia"/>
            <w:noProof/>
          </w:rPr>
          <w:t>第五单元（共</w:t>
        </w:r>
        <w:r w:rsidR="00EC4F35" w:rsidRPr="004478D6">
          <w:rPr>
            <w:rStyle w:val="a6"/>
            <w:rFonts w:ascii="宋体" w:hAnsi="宋体" w:cs="宋体"/>
            <w:noProof/>
          </w:rPr>
          <w:t>2</w:t>
        </w:r>
        <w:r w:rsidR="00EC4F35" w:rsidRPr="004478D6">
          <w:rPr>
            <w:rStyle w:val="a6"/>
            <w:rFonts w:ascii="宋体" w:hAnsi="宋体" w:cs="宋体" w:hint="eastAsia"/>
            <w:noProof/>
          </w:rPr>
          <w:t>讲）</w:t>
        </w:r>
        <w:r w:rsidR="00EC4F35">
          <w:rPr>
            <w:noProof/>
          </w:rPr>
          <w:tab/>
        </w:r>
        <w:r>
          <w:rPr>
            <w:noProof/>
          </w:rPr>
          <w:fldChar w:fldCharType="begin"/>
        </w:r>
        <w:r w:rsidR="00EC4F35">
          <w:rPr>
            <w:noProof/>
          </w:rPr>
          <w:instrText xml:space="preserve"> PAGEREF _Toc474271772 \h </w:instrText>
        </w:r>
        <w:r>
          <w:rPr>
            <w:noProof/>
          </w:rPr>
        </w:r>
        <w:r>
          <w:rPr>
            <w:noProof/>
          </w:rPr>
          <w:fldChar w:fldCharType="separate"/>
        </w:r>
        <w:r w:rsidR="00EC4F35">
          <w:rPr>
            <w:noProof/>
          </w:rPr>
          <w:t>90</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02" w:history="1">
        <w:r w:rsidR="00EC4F35" w:rsidRPr="004478D6">
          <w:rPr>
            <w:rStyle w:val="a6"/>
            <w:rFonts w:ascii="宋体" w:hAnsi="宋体" w:cs="宋体"/>
            <w:noProof/>
          </w:rPr>
          <w:t>7.6</w:t>
        </w:r>
        <w:r w:rsidR="00EC4F35" w:rsidRPr="004478D6">
          <w:rPr>
            <w:rStyle w:val="a6"/>
            <w:rFonts w:ascii="宋体" w:hAnsi="宋体" w:cs="宋体" w:hint="eastAsia"/>
            <w:noProof/>
          </w:rPr>
          <w:t>第六单元（共</w:t>
        </w:r>
        <w:r w:rsidR="00EC4F35" w:rsidRPr="004478D6">
          <w:rPr>
            <w:rStyle w:val="a6"/>
            <w:rFonts w:ascii="宋体" w:hAnsi="宋体" w:cs="宋体"/>
            <w:noProof/>
          </w:rPr>
          <w:t>1</w:t>
        </w:r>
        <w:r w:rsidR="00EC4F35" w:rsidRPr="004478D6">
          <w:rPr>
            <w:rStyle w:val="a6"/>
            <w:rFonts w:ascii="宋体" w:hAnsi="宋体" w:cs="宋体" w:hint="eastAsia"/>
            <w:noProof/>
          </w:rPr>
          <w:t>讲）</w:t>
        </w:r>
        <w:r w:rsidR="00EC4F35">
          <w:rPr>
            <w:noProof/>
          </w:rPr>
          <w:tab/>
        </w:r>
        <w:r>
          <w:rPr>
            <w:noProof/>
          </w:rPr>
          <w:fldChar w:fldCharType="begin"/>
        </w:r>
        <w:r w:rsidR="00EC4F35">
          <w:rPr>
            <w:noProof/>
          </w:rPr>
          <w:instrText xml:space="preserve"> PAGEREF _Toc474271802 \h </w:instrText>
        </w:r>
        <w:r>
          <w:rPr>
            <w:noProof/>
          </w:rPr>
        </w:r>
        <w:r>
          <w:rPr>
            <w:noProof/>
          </w:rPr>
          <w:fldChar w:fldCharType="separate"/>
        </w:r>
        <w:r w:rsidR="00EC4F35">
          <w:rPr>
            <w:noProof/>
          </w:rPr>
          <w:t>102</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38" w:history="1">
        <w:r w:rsidR="00EC4F35" w:rsidRPr="004478D6">
          <w:rPr>
            <w:rStyle w:val="a6"/>
            <w:rFonts w:ascii="宋体" w:hAnsi="宋体" w:cs="宋体"/>
            <w:noProof/>
          </w:rPr>
          <w:t>7.7</w:t>
        </w:r>
        <w:r w:rsidR="00EC4F35" w:rsidRPr="004478D6">
          <w:rPr>
            <w:rStyle w:val="a6"/>
            <w:rFonts w:ascii="宋体" w:hAnsi="宋体" w:cs="宋体" w:hint="eastAsia"/>
            <w:noProof/>
          </w:rPr>
          <w:t>第七单元（共</w:t>
        </w:r>
        <w:r w:rsidR="00EC4F35" w:rsidRPr="004478D6">
          <w:rPr>
            <w:rStyle w:val="a6"/>
            <w:rFonts w:ascii="宋体" w:hAnsi="宋体" w:cs="宋体"/>
            <w:noProof/>
          </w:rPr>
          <w:t>2</w:t>
        </w:r>
        <w:r w:rsidR="00EC4F35" w:rsidRPr="004478D6">
          <w:rPr>
            <w:rStyle w:val="a6"/>
            <w:rFonts w:ascii="宋体" w:hAnsi="宋体" w:cs="宋体" w:hint="eastAsia"/>
            <w:noProof/>
          </w:rPr>
          <w:t>讲）</w:t>
        </w:r>
        <w:r w:rsidR="00EC4F35">
          <w:rPr>
            <w:noProof/>
          </w:rPr>
          <w:tab/>
        </w:r>
        <w:r>
          <w:rPr>
            <w:noProof/>
          </w:rPr>
          <w:fldChar w:fldCharType="begin"/>
        </w:r>
        <w:r w:rsidR="00EC4F35">
          <w:rPr>
            <w:noProof/>
          </w:rPr>
          <w:instrText xml:space="preserve"> PAGEREF _Toc474271838 \h </w:instrText>
        </w:r>
        <w:r>
          <w:rPr>
            <w:noProof/>
          </w:rPr>
        </w:r>
        <w:r>
          <w:rPr>
            <w:noProof/>
          </w:rPr>
          <w:fldChar w:fldCharType="separate"/>
        </w:r>
        <w:r w:rsidR="00EC4F35">
          <w:rPr>
            <w:noProof/>
          </w:rPr>
          <w:t>110</w:t>
        </w:r>
        <w:r>
          <w:rPr>
            <w:noProof/>
          </w:rPr>
          <w:fldChar w:fldCharType="end"/>
        </w:r>
      </w:hyperlink>
    </w:p>
    <w:p w:rsidR="00EC4F35" w:rsidRDefault="00EF6E22">
      <w:pPr>
        <w:pStyle w:val="20"/>
        <w:tabs>
          <w:tab w:val="right" w:leader="dot" w:pos="9062"/>
        </w:tabs>
        <w:rPr>
          <w:rFonts w:asciiTheme="minorHAnsi" w:eastAsiaTheme="minorEastAsia" w:hAnsiTheme="minorHAnsi" w:cstheme="minorBidi"/>
          <w:noProof/>
          <w:szCs w:val="22"/>
        </w:rPr>
      </w:pPr>
      <w:hyperlink w:anchor="_Toc474271859" w:history="1">
        <w:r w:rsidR="00EC4F35" w:rsidRPr="004478D6">
          <w:rPr>
            <w:rStyle w:val="a6"/>
            <w:rFonts w:ascii="黑体" w:hAnsi="黑体" w:cs="宋体"/>
            <w:noProof/>
          </w:rPr>
          <w:t xml:space="preserve">8 </w:t>
        </w:r>
        <w:r w:rsidR="00EC4F35" w:rsidRPr="004478D6">
          <w:rPr>
            <w:rStyle w:val="a6"/>
            <w:rFonts w:ascii="黑体" w:hAnsi="黑体" w:cs="宋体" w:hint="eastAsia"/>
            <w:noProof/>
          </w:rPr>
          <w:t>课程要求</w:t>
        </w:r>
        <w:r w:rsidR="00EC4F35">
          <w:rPr>
            <w:noProof/>
          </w:rPr>
          <w:tab/>
        </w:r>
        <w:r>
          <w:rPr>
            <w:noProof/>
          </w:rPr>
          <w:fldChar w:fldCharType="begin"/>
        </w:r>
        <w:r w:rsidR="00EC4F35">
          <w:rPr>
            <w:noProof/>
          </w:rPr>
          <w:instrText xml:space="preserve"> PAGEREF _Toc474271859 \h </w:instrText>
        </w:r>
        <w:r>
          <w:rPr>
            <w:noProof/>
          </w:rPr>
        </w:r>
        <w:r>
          <w:rPr>
            <w:noProof/>
          </w:rPr>
          <w:fldChar w:fldCharType="separate"/>
        </w:r>
        <w:r w:rsidR="00EC4F35">
          <w:rPr>
            <w:noProof/>
          </w:rPr>
          <w:t>144</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60" w:history="1">
        <w:r w:rsidR="00EC4F35" w:rsidRPr="004478D6">
          <w:rPr>
            <w:rStyle w:val="a6"/>
            <w:rFonts w:ascii="宋体" w:hAnsi="宋体" w:cs="宋体"/>
            <w:noProof/>
          </w:rPr>
          <w:t>8.1</w:t>
        </w:r>
        <w:r w:rsidR="00EC4F35" w:rsidRPr="004478D6">
          <w:rPr>
            <w:rStyle w:val="a6"/>
            <w:rFonts w:ascii="宋体" w:hAnsi="宋体" w:cs="宋体" w:hint="eastAsia"/>
            <w:noProof/>
          </w:rPr>
          <w:t>学生自学的要求</w:t>
        </w:r>
        <w:r w:rsidR="00EC4F35">
          <w:rPr>
            <w:noProof/>
          </w:rPr>
          <w:tab/>
        </w:r>
        <w:r>
          <w:rPr>
            <w:noProof/>
          </w:rPr>
          <w:fldChar w:fldCharType="begin"/>
        </w:r>
        <w:r w:rsidR="00EC4F35">
          <w:rPr>
            <w:noProof/>
          </w:rPr>
          <w:instrText xml:space="preserve"> PAGEREF _Toc474271860 \h </w:instrText>
        </w:r>
        <w:r>
          <w:rPr>
            <w:noProof/>
          </w:rPr>
        </w:r>
        <w:r>
          <w:rPr>
            <w:noProof/>
          </w:rPr>
          <w:fldChar w:fldCharType="separate"/>
        </w:r>
        <w:r w:rsidR="00EC4F35">
          <w:rPr>
            <w:noProof/>
          </w:rPr>
          <w:t>144</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61" w:history="1">
        <w:r w:rsidR="00EC4F35" w:rsidRPr="004478D6">
          <w:rPr>
            <w:rStyle w:val="a6"/>
            <w:rFonts w:ascii="宋体" w:hAnsi="宋体" w:cs="宋体"/>
            <w:noProof/>
          </w:rPr>
          <w:t>8.2</w:t>
        </w:r>
        <w:r w:rsidR="00EC4F35" w:rsidRPr="004478D6">
          <w:rPr>
            <w:rStyle w:val="a6"/>
            <w:rFonts w:ascii="宋体" w:hAnsi="宋体" w:cs="宋体" w:hint="eastAsia"/>
            <w:noProof/>
          </w:rPr>
          <w:t>课外阅读的要求</w:t>
        </w:r>
        <w:r w:rsidR="00EC4F35">
          <w:rPr>
            <w:noProof/>
          </w:rPr>
          <w:tab/>
        </w:r>
        <w:r>
          <w:rPr>
            <w:noProof/>
          </w:rPr>
          <w:fldChar w:fldCharType="begin"/>
        </w:r>
        <w:r w:rsidR="00EC4F35">
          <w:rPr>
            <w:noProof/>
          </w:rPr>
          <w:instrText xml:space="preserve"> PAGEREF _Toc474271861 \h </w:instrText>
        </w:r>
        <w:r>
          <w:rPr>
            <w:noProof/>
          </w:rPr>
        </w:r>
        <w:r>
          <w:rPr>
            <w:noProof/>
          </w:rPr>
          <w:fldChar w:fldCharType="separate"/>
        </w:r>
        <w:r w:rsidR="00EC4F35">
          <w:rPr>
            <w:noProof/>
          </w:rPr>
          <w:t>144</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62" w:history="1">
        <w:r w:rsidR="00EC4F35" w:rsidRPr="004478D6">
          <w:rPr>
            <w:rStyle w:val="a6"/>
            <w:rFonts w:ascii="宋体" w:hAnsi="宋体" w:cs="宋体"/>
            <w:noProof/>
          </w:rPr>
          <w:t>8.3</w:t>
        </w:r>
        <w:r w:rsidR="00EC4F35" w:rsidRPr="004478D6">
          <w:rPr>
            <w:rStyle w:val="a6"/>
            <w:rFonts w:ascii="宋体" w:hAnsi="宋体" w:cs="宋体" w:hint="eastAsia"/>
            <w:noProof/>
          </w:rPr>
          <w:t>课堂讨论的要求</w:t>
        </w:r>
        <w:r w:rsidR="00EC4F35">
          <w:rPr>
            <w:noProof/>
          </w:rPr>
          <w:tab/>
        </w:r>
        <w:r>
          <w:rPr>
            <w:noProof/>
          </w:rPr>
          <w:fldChar w:fldCharType="begin"/>
        </w:r>
        <w:r w:rsidR="00EC4F35">
          <w:rPr>
            <w:noProof/>
          </w:rPr>
          <w:instrText xml:space="preserve"> PAGEREF _Toc474271862 \h </w:instrText>
        </w:r>
        <w:r>
          <w:rPr>
            <w:noProof/>
          </w:rPr>
        </w:r>
        <w:r>
          <w:rPr>
            <w:noProof/>
          </w:rPr>
          <w:fldChar w:fldCharType="separate"/>
        </w:r>
        <w:r w:rsidR="00EC4F35">
          <w:rPr>
            <w:noProof/>
          </w:rPr>
          <w:t>144</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63" w:history="1">
        <w:r w:rsidR="00EC4F35" w:rsidRPr="004478D6">
          <w:rPr>
            <w:rStyle w:val="a6"/>
            <w:rFonts w:ascii="宋体" w:hAnsi="宋体" w:cs="宋体"/>
            <w:noProof/>
          </w:rPr>
          <w:t>8.4</w:t>
        </w:r>
        <w:r w:rsidR="00EC4F35" w:rsidRPr="004478D6">
          <w:rPr>
            <w:rStyle w:val="a6"/>
            <w:rFonts w:ascii="宋体" w:hAnsi="宋体" w:cs="宋体" w:hint="eastAsia"/>
            <w:noProof/>
          </w:rPr>
          <w:t>课程实践的要求</w:t>
        </w:r>
        <w:r w:rsidR="00EC4F35">
          <w:rPr>
            <w:noProof/>
          </w:rPr>
          <w:tab/>
        </w:r>
        <w:r>
          <w:rPr>
            <w:noProof/>
          </w:rPr>
          <w:fldChar w:fldCharType="begin"/>
        </w:r>
        <w:r w:rsidR="00EC4F35">
          <w:rPr>
            <w:noProof/>
          </w:rPr>
          <w:instrText xml:space="preserve"> PAGEREF _Toc474271863 \h </w:instrText>
        </w:r>
        <w:r>
          <w:rPr>
            <w:noProof/>
          </w:rPr>
        </w:r>
        <w:r>
          <w:rPr>
            <w:noProof/>
          </w:rPr>
          <w:fldChar w:fldCharType="separate"/>
        </w:r>
        <w:r w:rsidR="00EC4F35">
          <w:rPr>
            <w:noProof/>
          </w:rPr>
          <w:t>145</w:t>
        </w:r>
        <w:r>
          <w:rPr>
            <w:noProof/>
          </w:rPr>
          <w:fldChar w:fldCharType="end"/>
        </w:r>
      </w:hyperlink>
    </w:p>
    <w:p w:rsidR="00EC4F35" w:rsidRDefault="00EF6E22">
      <w:pPr>
        <w:pStyle w:val="20"/>
        <w:tabs>
          <w:tab w:val="right" w:leader="dot" w:pos="9062"/>
        </w:tabs>
        <w:rPr>
          <w:rFonts w:asciiTheme="minorHAnsi" w:eastAsiaTheme="minorEastAsia" w:hAnsiTheme="minorHAnsi" w:cstheme="minorBidi"/>
          <w:noProof/>
          <w:szCs w:val="22"/>
        </w:rPr>
      </w:pPr>
      <w:hyperlink w:anchor="_Toc474271864" w:history="1">
        <w:r w:rsidR="00EC4F35" w:rsidRPr="004478D6">
          <w:rPr>
            <w:rStyle w:val="a6"/>
            <w:rFonts w:ascii="黑体" w:hAnsi="黑体" w:cs="宋体"/>
            <w:noProof/>
          </w:rPr>
          <w:t xml:space="preserve">9 </w:t>
        </w:r>
        <w:r w:rsidR="00EC4F35" w:rsidRPr="004478D6">
          <w:rPr>
            <w:rStyle w:val="a6"/>
            <w:rFonts w:ascii="黑体" w:hAnsi="黑体" w:cs="宋体" w:hint="eastAsia"/>
            <w:noProof/>
          </w:rPr>
          <w:t>课程考核方式及评分规程</w:t>
        </w:r>
        <w:r w:rsidR="00EC4F35">
          <w:rPr>
            <w:noProof/>
          </w:rPr>
          <w:tab/>
        </w:r>
        <w:r>
          <w:rPr>
            <w:noProof/>
          </w:rPr>
          <w:fldChar w:fldCharType="begin"/>
        </w:r>
        <w:r w:rsidR="00EC4F35">
          <w:rPr>
            <w:noProof/>
          </w:rPr>
          <w:instrText xml:space="preserve"> PAGEREF _Toc474271864 \h </w:instrText>
        </w:r>
        <w:r>
          <w:rPr>
            <w:noProof/>
          </w:rPr>
        </w:r>
        <w:r>
          <w:rPr>
            <w:noProof/>
          </w:rPr>
          <w:fldChar w:fldCharType="separate"/>
        </w:r>
        <w:r w:rsidR="00EC4F35">
          <w:rPr>
            <w:noProof/>
          </w:rPr>
          <w:t>147</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65" w:history="1">
        <w:r w:rsidR="00EC4F35" w:rsidRPr="004478D6">
          <w:rPr>
            <w:rStyle w:val="a6"/>
            <w:rFonts w:ascii="宋体" w:hAnsi="宋体"/>
            <w:noProof/>
          </w:rPr>
          <w:t>9.1</w:t>
        </w:r>
        <w:r w:rsidR="00EC4F35" w:rsidRPr="004478D6">
          <w:rPr>
            <w:rStyle w:val="a6"/>
            <w:rFonts w:ascii="宋体" w:hAnsi="宋体" w:hint="eastAsia"/>
            <w:noProof/>
          </w:rPr>
          <w:t>出勤（迟到</w:t>
        </w:r>
        <w:r w:rsidR="00EC4F35" w:rsidRPr="004478D6">
          <w:rPr>
            <w:rStyle w:val="a6"/>
            <w:rFonts w:hint="eastAsia"/>
            <w:noProof/>
          </w:rPr>
          <w:t>、早退等）、作业、报告的要求</w:t>
        </w:r>
        <w:r w:rsidR="00EC4F35">
          <w:rPr>
            <w:noProof/>
          </w:rPr>
          <w:tab/>
        </w:r>
        <w:r>
          <w:rPr>
            <w:noProof/>
          </w:rPr>
          <w:fldChar w:fldCharType="begin"/>
        </w:r>
        <w:r w:rsidR="00EC4F35">
          <w:rPr>
            <w:noProof/>
          </w:rPr>
          <w:instrText xml:space="preserve"> PAGEREF _Toc474271865 \h </w:instrText>
        </w:r>
        <w:r>
          <w:rPr>
            <w:noProof/>
          </w:rPr>
        </w:r>
        <w:r>
          <w:rPr>
            <w:noProof/>
          </w:rPr>
          <w:fldChar w:fldCharType="separate"/>
        </w:r>
        <w:r w:rsidR="00EC4F35">
          <w:rPr>
            <w:noProof/>
          </w:rPr>
          <w:t>147</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66" w:history="1">
        <w:r w:rsidR="00EC4F35" w:rsidRPr="004478D6">
          <w:rPr>
            <w:rStyle w:val="a6"/>
            <w:rFonts w:ascii="宋体" w:hAnsi="宋体" w:cs="宋体"/>
            <w:noProof/>
          </w:rPr>
          <w:t>9.2</w:t>
        </w:r>
        <w:r w:rsidR="00EC4F35" w:rsidRPr="004478D6">
          <w:rPr>
            <w:rStyle w:val="a6"/>
            <w:rFonts w:ascii="宋体" w:hAnsi="宋体" w:cs="宋体" w:hint="eastAsia"/>
            <w:noProof/>
          </w:rPr>
          <w:t>成绩的构成与评分规则说明</w:t>
        </w:r>
        <w:r w:rsidR="00EC4F35">
          <w:rPr>
            <w:noProof/>
          </w:rPr>
          <w:tab/>
        </w:r>
        <w:r>
          <w:rPr>
            <w:noProof/>
          </w:rPr>
          <w:fldChar w:fldCharType="begin"/>
        </w:r>
        <w:r w:rsidR="00EC4F35">
          <w:rPr>
            <w:noProof/>
          </w:rPr>
          <w:instrText xml:space="preserve"> PAGEREF _Toc474271866 \h </w:instrText>
        </w:r>
        <w:r>
          <w:rPr>
            <w:noProof/>
          </w:rPr>
        </w:r>
        <w:r>
          <w:rPr>
            <w:noProof/>
          </w:rPr>
          <w:fldChar w:fldCharType="separate"/>
        </w:r>
        <w:r w:rsidR="00EC4F35">
          <w:rPr>
            <w:noProof/>
          </w:rPr>
          <w:t>147</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67" w:history="1">
        <w:r w:rsidR="00EC4F35" w:rsidRPr="004478D6">
          <w:rPr>
            <w:rStyle w:val="a6"/>
            <w:rFonts w:ascii="宋体" w:hAnsi="宋体" w:cs="宋体"/>
            <w:noProof/>
          </w:rPr>
          <w:t>9.3</w:t>
        </w:r>
        <w:r w:rsidR="00EC4F35" w:rsidRPr="004478D6">
          <w:rPr>
            <w:rStyle w:val="a6"/>
            <w:rFonts w:ascii="宋体" w:hAnsi="宋体" w:cs="宋体" w:hint="eastAsia"/>
            <w:noProof/>
          </w:rPr>
          <w:t>考试形式及说明（含补考）</w:t>
        </w:r>
        <w:r w:rsidR="00EC4F35">
          <w:rPr>
            <w:noProof/>
          </w:rPr>
          <w:tab/>
        </w:r>
        <w:r>
          <w:rPr>
            <w:noProof/>
          </w:rPr>
          <w:fldChar w:fldCharType="begin"/>
        </w:r>
        <w:r w:rsidR="00EC4F35">
          <w:rPr>
            <w:noProof/>
          </w:rPr>
          <w:instrText xml:space="preserve"> PAGEREF _Toc474271867 \h </w:instrText>
        </w:r>
        <w:r>
          <w:rPr>
            <w:noProof/>
          </w:rPr>
        </w:r>
        <w:r>
          <w:rPr>
            <w:noProof/>
          </w:rPr>
          <w:fldChar w:fldCharType="separate"/>
        </w:r>
        <w:r w:rsidR="00EC4F35">
          <w:rPr>
            <w:noProof/>
          </w:rPr>
          <w:t>148</w:t>
        </w:r>
        <w:r>
          <w:rPr>
            <w:noProof/>
          </w:rPr>
          <w:fldChar w:fldCharType="end"/>
        </w:r>
      </w:hyperlink>
    </w:p>
    <w:p w:rsidR="00EC4F35" w:rsidRDefault="00EF6E22">
      <w:pPr>
        <w:pStyle w:val="20"/>
        <w:tabs>
          <w:tab w:val="right" w:leader="dot" w:pos="9062"/>
        </w:tabs>
        <w:rPr>
          <w:rFonts w:asciiTheme="minorHAnsi" w:eastAsiaTheme="minorEastAsia" w:hAnsiTheme="minorHAnsi" w:cstheme="minorBidi"/>
          <w:noProof/>
          <w:szCs w:val="22"/>
        </w:rPr>
      </w:pPr>
      <w:hyperlink w:anchor="_Toc474271868" w:history="1">
        <w:r w:rsidR="00EC4F35" w:rsidRPr="004478D6">
          <w:rPr>
            <w:rStyle w:val="a6"/>
            <w:rFonts w:ascii="黑体" w:hAnsi="黑体" w:cs="宋体"/>
            <w:noProof/>
          </w:rPr>
          <w:t xml:space="preserve">10 </w:t>
        </w:r>
        <w:r w:rsidR="00EC4F35" w:rsidRPr="004478D6">
          <w:rPr>
            <w:rStyle w:val="a6"/>
            <w:rFonts w:ascii="黑体" w:hAnsi="黑体" w:cs="宋体" w:hint="eastAsia"/>
            <w:noProof/>
          </w:rPr>
          <w:t>学术诚信规定</w:t>
        </w:r>
        <w:r w:rsidR="00EC4F35">
          <w:rPr>
            <w:noProof/>
          </w:rPr>
          <w:tab/>
        </w:r>
        <w:r>
          <w:rPr>
            <w:noProof/>
          </w:rPr>
          <w:fldChar w:fldCharType="begin"/>
        </w:r>
        <w:r w:rsidR="00EC4F35">
          <w:rPr>
            <w:noProof/>
          </w:rPr>
          <w:instrText xml:space="preserve"> PAGEREF _Toc474271868 \h </w:instrText>
        </w:r>
        <w:r>
          <w:rPr>
            <w:noProof/>
          </w:rPr>
        </w:r>
        <w:r>
          <w:rPr>
            <w:noProof/>
          </w:rPr>
          <w:fldChar w:fldCharType="separate"/>
        </w:r>
        <w:r w:rsidR="00EC4F35">
          <w:rPr>
            <w:noProof/>
          </w:rPr>
          <w:t>149</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69" w:history="1">
        <w:r w:rsidR="00EC4F35" w:rsidRPr="004478D6">
          <w:rPr>
            <w:rStyle w:val="a6"/>
            <w:rFonts w:ascii="宋体" w:hAnsi="宋体" w:cs="宋体"/>
            <w:noProof/>
          </w:rPr>
          <w:t>10.1</w:t>
        </w:r>
        <w:r w:rsidR="00EC4F35" w:rsidRPr="004478D6">
          <w:rPr>
            <w:rStyle w:val="a6"/>
            <w:rFonts w:ascii="宋体" w:hAnsi="宋体" w:cs="宋体" w:hint="eastAsia"/>
            <w:noProof/>
          </w:rPr>
          <w:t>考试违规与作弊</w:t>
        </w:r>
        <w:r w:rsidR="00EC4F35">
          <w:rPr>
            <w:noProof/>
          </w:rPr>
          <w:tab/>
        </w:r>
        <w:r>
          <w:rPr>
            <w:noProof/>
          </w:rPr>
          <w:fldChar w:fldCharType="begin"/>
        </w:r>
        <w:r w:rsidR="00EC4F35">
          <w:rPr>
            <w:noProof/>
          </w:rPr>
          <w:instrText xml:space="preserve"> PAGEREF _Toc474271869 \h </w:instrText>
        </w:r>
        <w:r>
          <w:rPr>
            <w:noProof/>
          </w:rPr>
        </w:r>
        <w:r>
          <w:rPr>
            <w:noProof/>
          </w:rPr>
          <w:fldChar w:fldCharType="separate"/>
        </w:r>
        <w:r w:rsidR="00EC4F35">
          <w:rPr>
            <w:noProof/>
          </w:rPr>
          <w:t>149</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70" w:history="1">
        <w:r w:rsidR="00EC4F35" w:rsidRPr="004478D6">
          <w:rPr>
            <w:rStyle w:val="a6"/>
            <w:rFonts w:ascii="宋体" w:hAnsi="宋体" w:cs="宋体"/>
            <w:noProof/>
          </w:rPr>
          <w:t>10.2</w:t>
        </w:r>
        <w:r w:rsidR="00EC4F35" w:rsidRPr="004478D6">
          <w:rPr>
            <w:rStyle w:val="a6"/>
            <w:rFonts w:ascii="宋体" w:hAnsi="宋体" w:cs="宋体" w:hint="eastAsia"/>
            <w:noProof/>
          </w:rPr>
          <w:t>杜撰数据、信息等</w:t>
        </w:r>
        <w:r w:rsidR="00EC4F35">
          <w:rPr>
            <w:noProof/>
          </w:rPr>
          <w:tab/>
        </w:r>
        <w:r>
          <w:rPr>
            <w:noProof/>
          </w:rPr>
          <w:fldChar w:fldCharType="begin"/>
        </w:r>
        <w:r w:rsidR="00EC4F35">
          <w:rPr>
            <w:noProof/>
          </w:rPr>
          <w:instrText xml:space="preserve"> PAGEREF _Toc474271870 \h </w:instrText>
        </w:r>
        <w:r>
          <w:rPr>
            <w:noProof/>
          </w:rPr>
        </w:r>
        <w:r>
          <w:rPr>
            <w:noProof/>
          </w:rPr>
          <w:fldChar w:fldCharType="separate"/>
        </w:r>
        <w:r w:rsidR="00EC4F35">
          <w:rPr>
            <w:noProof/>
          </w:rPr>
          <w:t>149</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71" w:history="1">
        <w:r w:rsidR="00EC4F35" w:rsidRPr="004478D6">
          <w:rPr>
            <w:rStyle w:val="a6"/>
            <w:rFonts w:ascii="宋体" w:hAnsi="宋体" w:cs="宋体"/>
            <w:noProof/>
          </w:rPr>
          <w:t>10.3</w:t>
        </w:r>
        <w:r w:rsidR="00EC4F35" w:rsidRPr="004478D6">
          <w:rPr>
            <w:rStyle w:val="a6"/>
            <w:rFonts w:ascii="宋体" w:hAnsi="宋体" w:cs="宋体" w:hint="eastAsia"/>
            <w:noProof/>
          </w:rPr>
          <w:t>学术剽窃等</w:t>
        </w:r>
        <w:r w:rsidR="00EC4F35">
          <w:rPr>
            <w:noProof/>
          </w:rPr>
          <w:tab/>
        </w:r>
        <w:r>
          <w:rPr>
            <w:noProof/>
          </w:rPr>
          <w:fldChar w:fldCharType="begin"/>
        </w:r>
        <w:r w:rsidR="00EC4F35">
          <w:rPr>
            <w:noProof/>
          </w:rPr>
          <w:instrText xml:space="preserve"> PAGEREF _Toc474271871 \h </w:instrText>
        </w:r>
        <w:r>
          <w:rPr>
            <w:noProof/>
          </w:rPr>
        </w:r>
        <w:r>
          <w:rPr>
            <w:noProof/>
          </w:rPr>
          <w:fldChar w:fldCharType="separate"/>
        </w:r>
        <w:r w:rsidR="00EC4F35">
          <w:rPr>
            <w:noProof/>
          </w:rPr>
          <w:t>149</w:t>
        </w:r>
        <w:r>
          <w:rPr>
            <w:noProof/>
          </w:rPr>
          <w:fldChar w:fldCharType="end"/>
        </w:r>
      </w:hyperlink>
    </w:p>
    <w:p w:rsidR="00EC4F35" w:rsidRDefault="00EF6E22">
      <w:pPr>
        <w:pStyle w:val="20"/>
        <w:tabs>
          <w:tab w:val="right" w:leader="dot" w:pos="9062"/>
        </w:tabs>
        <w:rPr>
          <w:rFonts w:asciiTheme="minorHAnsi" w:eastAsiaTheme="minorEastAsia" w:hAnsiTheme="minorHAnsi" w:cstheme="minorBidi"/>
          <w:noProof/>
          <w:szCs w:val="22"/>
        </w:rPr>
      </w:pPr>
      <w:hyperlink w:anchor="_Toc474271872" w:history="1">
        <w:r w:rsidR="00EC4F35" w:rsidRPr="004478D6">
          <w:rPr>
            <w:rStyle w:val="a6"/>
            <w:rFonts w:ascii="黑体" w:hAnsi="黑体" w:cs="宋体"/>
            <w:noProof/>
          </w:rPr>
          <w:t xml:space="preserve">11 </w:t>
        </w:r>
        <w:r w:rsidR="00EC4F35" w:rsidRPr="004478D6">
          <w:rPr>
            <w:rStyle w:val="a6"/>
            <w:rFonts w:ascii="黑体" w:hAnsi="黑体" w:cs="宋体" w:hint="eastAsia"/>
            <w:noProof/>
          </w:rPr>
          <w:t>课堂规范</w:t>
        </w:r>
        <w:r w:rsidR="00EC4F35">
          <w:rPr>
            <w:noProof/>
          </w:rPr>
          <w:tab/>
        </w:r>
        <w:r>
          <w:rPr>
            <w:noProof/>
          </w:rPr>
          <w:fldChar w:fldCharType="begin"/>
        </w:r>
        <w:r w:rsidR="00EC4F35">
          <w:rPr>
            <w:noProof/>
          </w:rPr>
          <w:instrText xml:space="preserve"> PAGEREF _Toc474271872 \h </w:instrText>
        </w:r>
        <w:r>
          <w:rPr>
            <w:noProof/>
          </w:rPr>
        </w:r>
        <w:r>
          <w:rPr>
            <w:noProof/>
          </w:rPr>
          <w:fldChar w:fldCharType="separate"/>
        </w:r>
        <w:r w:rsidR="00EC4F35">
          <w:rPr>
            <w:noProof/>
          </w:rPr>
          <w:t>150</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73" w:history="1">
        <w:r w:rsidR="00EC4F35" w:rsidRPr="004478D6">
          <w:rPr>
            <w:rStyle w:val="a6"/>
            <w:rFonts w:ascii="宋体" w:hAnsi="宋体" w:cs="宋体"/>
            <w:noProof/>
          </w:rPr>
          <w:t>11.1</w:t>
        </w:r>
        <w:r w:rsidR="00EC4F35" w:rsidRPr="004478D6">
          <w:rPr>
            <w:rStyle w:val="a6"/>
            <w:rFonts w:ascii="宋体" w:hAnsi="宋体" w:cs="宋体" w:hint="eastAsia"/>
            <w:noProof/>
          </w:rPr>
          <w:t>课堂纪律</w:t>
        </w:r>
        <w:r w:rsidR="00EC4F35">
          <w:rPr>
            <w:noProof/>
          </w:rPr>
          <w:tab/>
        </w:r>
        <w:r>
          <w:rPr>
            <w:noProof/>
          </w:rPr>
          <w:fldChar w:fldCharType="begin"/>
        </w:r>
        <w:r w:rsidR="00EC4F35">
          <w:rPr>
            <w:noProof/>
          </w:rPr>
          <w:instrText xml:space="preserve"> PAGEREF _Toc474271873 \h </w:instrText>
        </w:r>
        <w:r>
          <w:rPr>
            <w:noProof/>
          </w:rPr>
        </w:r>
        <w:r>
          <w:rPr>
            <w:noProof/>
          </w:rPr>
          <w:fldChar w:fldCharType="separate"/>
        </w:r>
        <w:r w:rsidR="00EC4F35">
          <w:rPr>
            <w:noProof/>
          </w:rPr>
          <w:t>150</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74" w:history="1">
        <w:r w:rsidR="00EC4F35" w:rsidRPr="004478D6">
          <w:rPr>
            <w:rStyle w:val="a6"/>
            <w:rFonts w:ascii="宋体" w:hAnsi="宋体" w:cs="宋体"/>
            <w:noProof/>
          </w:rPr>
          <w:t>11.2</w:t>
        </w:r>
        <w:r w:rsidR="00EC4F35" w:rsidRPr="004478D6">
          <w:rPr>
            <w:rStyle w:val="a6"/>
            <w:rFonts w:ascii="宋体" w:hAnsi="宋体" w:cs="宋体" w:hint="eastAsia"/>
            <w:noProof/>
          </w:rPr>
          <w:t>课堂礼仪</w:t>
        </w:r>
        <w:r w:rsidR="00EC4F35">
          <w:rPr>
            <w:noProof/>
          </w:rPr>
          <w:tab/>
        </w:r>
        <w:r>
          <w:rPr>
            <w:noProof/>
          </w:rPr>
          <w:fldChar w:fldCharType="begin"/>
        </w:r>
        <w:r w:rsidR="00EC4F35">
          <w:rPr>
            <w:noProof/>
          </w:rPr>
          <w:instrText xml:space="preserve"> PAGEREF _Toc474271874 \h </w:instrText>
        </w:r>
        <w:r>
          <w:rPr>
            <w:noProof/>
          </w:rPr>
        </w:r>
        <w:r>
          <w:rPr>
            <w:noProof/>
          </w:rPr>
          <w:fldChar w:fldCharType="separate"/>
        </w:r>
        <w:r w:rsidR="00EC4F35">
          <w:rPr>
            <w:noProof/>
          </w:rPr>
          <w:t>150</w:t>
        </w:r>
        <w:r>
          <w:rPr>
            <w:noProof/>
          </w:rPr>
          <w:fldChar w:fldCharType="end"/>
        </w:r>
      </w:hyperlink>
    </w:p>
    <w:p w:rsidR="00EC4F35" w:rsidRDefault="00EF6E22">
      <w:pPr>
        <w:pStyle w:val="20"/>
        <w:tabs>
          <w:tab w:val="right" w:leader="dot" w:pos="9062"/>
        </w:tabs>
        <w:rPr>
          <w:rFonts w:asciiTheme="minorHAnsi" w:eastAsiaTheme="minorEastAsia" w:hAnsiTheme="minorHAnsi" w:cstheme="minorBidi"/>
          <w:noProof/>
          <w:szCs w:val="22"/>
        </w:rPr>
      </w:pPr>
      <w:hyperlink w:anchor="_Toc474271875" w:history="1">
        <w:r w:rsidR="00EC4F35" w:rsidRPr="004478D6">
          <w:rPr>
            <w:rStyle w:val="a6"/>
            <w:rFonts w:ascii="黑体" w:hAnsi="黑体" w:cs="宋体"/>
            <w:noProof/>
          </w:rPr>
          <w:t xml:space="preserve">12 </w:t>
        </w:r>
        <w:r w:rsidR="00EC4F35" w:rsidRPr="004478D6">
          <w:rPr>
            <w:rStyle w:val="a6"/>
            <w:rFonts w:ascii="黑体" w:hAnsi="黑体" w:cs="宋体" w:hint="eastAsia"/>
            <w:noProof/>
          </w:rPr>
          <w:t>课程资源</w:t>
        </w:r>
        <w:r w:rsidR="00EC4F35">
          <w:rPr>
            <w:noProof/>
          </w:rPr>
          <w:tab/>
        </w:r>
        <w:r>
          <w:rPr>
            <w:noProof/>
          </w:rPr>
          <w:fldChar w:fldCharType="begin"/>
        </w:r>
        <w:r w:rsidR="00EC4F35">
          <w:rPr>
            <w:noProof/>
          </w:rPr>
          <w:instrText xml:space="preserve"> PAGEREF _Toc474271875 \h </w:instrText>
        </w:r>
        <w:r>
          <w:rPr>
            <w:noProof/>
          </w:rPr>
        </w:r>
        <w:r>
          <w:rPr>
            <w:noProof/>
          </w:rPr>
          <w:fldChar w:fldCharType="separate"/>
        </w:r>
        <w:r w:rsidR="00EC4F35">
          <w:rPr>
            <w:noProof/>
          </w:rPr>
          <w:t>151</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76" w:history="1">
        <w:r w:rsidR="00EC4F35" w:rsidRPr="004478D6">
          <w:rPr>
            <w:rStyle w:val="a6"/>
            <w:rFonts w:ascii="宋体" w:hAnsi="宋体" w:cs="宋体"/>
            <w:noProof/>
          </w:rPr>
          <w:t>12.1</w:t>
        </w:r>
        <w:r w:rsidR="00EC4F35" w:rsidRPr="004478D6">
          <w:rPr>
            <w:rStyle w:val="a6"/>
            <w:rFonts w:ascii="宋体" w:hAnsi="宋体" w:cs="宋体" w:hint="eastAsia"/>
            <w:noProof/>
          </w:rPr>
          <w:t>教材与参考书</w:t>
        </w:r>
        <w:r w:rsidR="00EC4F35">
          <w:rPr>
            <w:noProof/>
          </w:rPr>
          <w:tab/>
        </w:r>
        <w:r>
          <w:rPr>
            <w:noProof/>
          </w:rPr>
          <w:fldChar w:fldCharType="begin"/>
        </w:r>
        <w:r w:rsidR="00EC4F35">
          <w:rPr>
            <w:noProof/>
          </w:rPr>
          <w:instrText xml:space="preserve"> PAGEREF _Toc474271876 \h </w:instrText>
        </w:r>
        <w:r>
          <w:rPr>
            <w:noProof/>
          </w:rPr>
        </w:r>
        <w:r>
          <w:rPr>
            <w:noProof/>
          </w:rPr>
          <w:fldChar w:fldCharType="separate"/>
        </w:r>
        <w:r w:rsidR="00EC4F35">
          <w:rPr>
            <w:noProof/>
          </w:rPr>
          <w:t>151</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82" w:history="1">
        <w:r w:rsidR="00EC4F35" w:rsidRPr="004478D6">
          <w:rPr>
            <w:rStyle w:val="a6"/>
            <w:rFonts w:ascii="宋体" w:hAnsi="宋体" w:cs="宋体"/>
            <w:noProof/>
          </w:rPr>
          <w:t>12.2</w:t>
        </w:r>
        <w:r w:rsidR="00EC4F35" w:rsidRPr="004478D6">
          <w:rPr>
            <w:rStyle w:val="a6"/>
            <w:rFonts w:ascii="宋体" w:hAnsi="宋体" w:cs="宋体" w:hint="eastAsia"/>
            <w:noProof/>
          </w:rPr>
          <w:t>专业学术专著</w:t>
        </w:r>
        <w:r w:rsidR="00EC4F35">
          <w:rPr>
            <w:noProof/>
          </w:rPr>
          <w:tab/>
        </w:r>
        <w:r>
          <w:rPr>
            <w:noProof/>
          </w:rPr>
          <w:fldChar w:fldCharType="begin"/>
        </w:r>
        <w:r w:rsidR="00EC4F35">
          <w:rPr>
            <w:noProof/>
          </w:rPr>
          <w:instrText xml:space="preserve"> PAGEREF _Toc474271882 \h </w:instrText>
        </w:r>
        <w:r>
          <w:rPr>
            <w:noProof/>
          </w:rPr>
        </w:r>
        <w:r>
          <w:rPr>
            <w:noProof/>
          </w:rPr>
          <w:fldChar w:fldCharType="separate"/>
        </w:r>
        <w:r w:rsidR="00EC4F35">
          <w:rPr>
            <w:noProof/>
          </w:rPr>
          <w:t>151</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83" w:history="1">
        <w:r w:rsidR="00EC4F35" w:rsidRPr="004478D6">
          <w:rPr>
            <w:rStyle w:val="a6"/>
            <w:rFonts w:ascii="宋体" w:hAnsi="宋体" w:cs="宋体"/>
            <w:noProof/>
          </w:rPr>
          <w:t>12.3</w:t>
        </w:r>
        <w:r w:rsidR="00EC4F35" w:rsidRPr="004478D6">
          <w:rPr>
            <w:rStyle w:val="a6"/>
            <w:rFonts w:ascii="宋体" w:hAnsi="宋体" w:cs="宋体" w:hint="eastAsia"/>
            <w:noProof/>
          </w:rPr>
          <w:t>专业刊物</w:t>
        </w:r>
        <w:r w:rsidR="00EC4F35">
          <w:rPr>
            <w:noProof/>
          </w:rPr>
          <w:tab/>
        </w:r>
        <w:r>
          <w:rPr>
            <w:noProof/>
          </w:rPr>
          <w:fldChar w:fldCharType="begin"/>
        </w:r>
        <w:r w:rsidR="00EC4F35">
          <w:rPr>
            <w:noProof/>
          </w:rPr>
          <w:instrText xml:space="preserve"> PAGEREF _Toc474271883 \h </w:instrText>
        </w:r>
        <w:r>
          <w:rPr>
            <w:noProof/>
          </w:rPr>
        </w:r>
        <w:r>
          <w:rPr>
            <w:noProof/>
          </w:rPr>
          <w:fldChar w:fldCharType="separate"/>
        </w:r>
        <w:r w:rsidR="00EC4F35">
          <w:rPr>
            <w:noProof/>
          </w:rPr>
          <w:t>152</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84" w:history="1">
        <w:r w:rsidR="00EC4F35" w:rsidRPr="004478D6">
          <w:rPr>
            <w:rStyle w:val="a6"/>
            <w:rFonts w:ascii="宋体" w:hAnsi="宋体" w:cs="宋体"/>
            <w:noProof/>
          </w:rPr>
          <w:t>12.4</w:t>
        </w:r>
        <w:r w:rsidR="00EC4F35" w:rsidRPr="004478D6">
          <w:rPr>
            <w:rStyle w:val="a6"/>
            <w:rFonts w:ascii="宋体" w:hAnsi="宋体" w:cs="宋体" w:hint="eastAsia"/>
            <w:noProof/>
          </w:rPr>
          <w:t>网络及课外阅读资源</w:t>
        </w:r>
        <w:r w:rsidR="00EC4F35">
          <w:rPr>
            <w:noProof/>
          </w:rPr>
          <w:tab/>
        </w:r>
        <w:r>
          <w:rPr>
            <w:noProof/>
          </w:rPr>
          <w:fldChar w:fldCharType="begin"/>
        </w:r>
        <w:r w:rsidR="00EC4F35">
          <w:rPr>
            <w:noProof/>
          </w:rPr>
          <w:instrText xml:space="preserve"> PAGEREF _Toc474271884 \h </w:instrText>
        </w:r>
        <w:r>
          <w:rPr>
            <w:noProof/>
          </w:rPr>
        </w:r>
        <w:r>
          <w:rPr>
            <w:noProof/>
          </w:rPr>
          <w:fldChar w:fldCharType="separate"/>
        </w:r>
        <w:r w:rsidR="00EC4F35">
          <w:rPr>
            <w:noProof/>
          </w:rPr>
          <w:t>152</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85" w:history="1">
        <w:r w:rsidR="00EC4F35" w:rsidRPr="004478D6">
          <w:rPr>
            <w:rStyle w:val="a6"/>
            <w:rFonts w:ascii="宋体" w:hAnsi="宋体" w:cs="宋体"/>
            <w:noProof/>
          </w:rPr>
          <w:t>12.5</w:t>
        </w:r>
        <w:r w:rsidR="00EC4F35" w:rsidRPr="004478D6">
          <w:rPr>
            <w:rStyle w:val="a6"/>
            <w:rFonts w:ascii="宋体" w:hAnsi="宋体" w:cs="宋体" w:hint="eastAsia"/>
            <w:noProof/>
          </w:rPr>
          <w:t>课外阅读资源</w:t>
        </w:r>
        <w:r w:rsidR="00EC4F35">
          <w:rPr>
            <w:noProof/>
          </w:rPr>
          <w:tab/>
        </w:r>
        <w:r>
          <w:rPr>
            <w:noProof/>
          </w:rPr>
          <w:fldChar w:fldCharType="begin"/>
        </w:r>
        <w:r w:rsidR="00EC4F35">
          <w:rPr>
            <w:noProof/>
          </w:rPr>
          <w:instrText xml:space="preserve"> PAGEREF _Toc474271885 \h </w:instrText>
        </w:r>
        <w:r>
          <w:rPr>
            <w:noProof/>
          </w:rPr>
        </w:r>
        <w:r>
          <w:rPr>
            <w:noProof/>
          </w:rPr>
          <w:fldChar w:fldCharType="separate"/>
        </w:r>
        <w:r w:rsidR="00EC4F35">
          <w:rPr>
            <w:noProof/>
          </w:rPr>
          <w:t>152</w:t>
        </w:r>
        <w:r>
          <w:rPr>
            <w:noProof/>
          </w:rPr>
          <w:fldChar w:fldCharType="end"/>
        </w:r>
      </w:hyperlink>
    </w:p>
    <w:p w:rsidR="00EC4F35" w:rsidRDefault="00EF6E22">
      <w:pPr>
        <w:pStyle w:val="20"/>
        <w:tabs>
          <w:tab w:val="right" w:leader="dot" w:pos="9062"/>
        </w:tabs>
        <w:rPr>
          <w:rFonts w:asciiTheme="minorHAnsi" w:eastAsiaTheme="minorEastAsia" w:hAnsiTheme="minorHAnsi" w:cstheme="minorBidi"/>
          <w:noProof/>
          <w:szCs w:val="22"/>
        </w:rPr>
      </w:pPr>
      <w:hyperlink w:anchor="_Toc474271886" w:history="1">
        <w:r w:rsidR="00EC4F35" w:rsidRPr="004478D6">
          <w:rPr>
            <w:rStyle w:val="a6"/>
            <w:rFonts w:ascii="黑体" w:hAnsi="黑体"/>
            <w:noProof/>
          </w:rPr>
          <w:t xml:space="preserve">13 </w:t>
        </w:r>
        <w:r w:rsidR="00EC4F35" w:rsidRPr="004478D6">
          <w:rPr>
            <w:rStyle w:val="a6"/>
            <w:rFonts w:ascii="黑体" w:hAnsi="黑体" w:hint="eastAsia"/>
            <w:noProof/>
          </w:rPr>
          <w:t>教学合约</w:t>
        </w:r>
        <w:r w:rsidR="00EC4F35">
          <w:rPr>
            <w:noProof/>
          </w:rPr>
          <w:tab/>
        </w:r>
        <w:r>
          <w:rPr>
            <w:noProof/>
          </w:rPr>
          <w:fldChar w:fldCharType="begin"/>
        </w:r>
        <w:r w:rsidR="00EC4F35">
          <w:rPr>
            <w:noProof/>
          </w:rPr>
          <w:instrText xml:space="preserve"> PAGEREF _Toc474271886 \h </w:instrText>
        </w:r>
        <w:r>
          <w:rPr>
            <w:noProof/>
          </w:rPr>
        </w:r>
        <w:r>
          <w:rPr>
            <w:noProof/>
          </w:rPr>
          <w:fldChar w:fldCharType="separate"/>
        </w:r>
        <w:r w:rsidR="00EC4F35">
          <w:rPr>
            <w:noProof/>
          </w:rPr>
          <w:t>153</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87" w:history="1">
        <w:r w:rsidR="00EC4F35" w:rsidRPr="004478D6">
          <w:rPr>
            <w:rStyle w:val="a6"/>
            <w:rFonts w:ascii="宋体" w:hAnsi="宋体" w:cs="宋体"/>
            <w:noProof/>
          </w:rPr>
          <w:t>13.1</w:t>
        </w:r>
        <w:r w:rsidR="00EC4F35" w:rsidRPr="004478D6">
          <w:rPr>
            <w:rStyle w:val="a6"/>
            <w:rFonts w:ascii="宋体" w:hAnsi="宋体" w:cs="宋体" w:hint="eastAsia"/>
            <w:noProof/>
          </w:rPr>
          <w:t>教师</w:t>
        </w:r>
        <w:r w:rsidR="00EC4F35" w:rsidRPr="004478D6">
          <w:rPr>
            <w:rStyle w:val="a6"/>
            <w:rFonts w:hint="eastAsia"/>
            <w:noProof/>
          </w:rPr>
          <w:t>作出师德师风承诺</w:t>
        </w:r>
        <w:r w:rsidR="00EC4F35">
          <w:rPr>
            <w:noProof/>
          </w:rPr>
          <w:tab/>
        </w:r>
        <w:r>
          <w:rPr>
            <w:noProof/>
          </w:rPr>
          <w:fldChar w:fldCharType="begin"/>
        </w:r>
        <w:r w:rsidR="00EC4F35">
          <w:rPr>
            <w:noProof/>
          </w:rPr>
          <w:instrText xml:space="preserve"> PAGEREF _Toc474271887 \h </w:instrText>
        </w:r>
        <w:r>
          <w:rPr>
            <w:noProof/>
          </w:rPr>
        </w:r>
        <w:r>
          <w:rPr>
            <w:noProof/>
          </w:rPr>
          <w:fldChar w:fldCharType="separate"/>
        </w:r>
        <w:r w:rsidR="00EC4F35">
          <w:rPr>
            <w:noProof/>
          </w:rPr>
          <w:t>153</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88" w:history="1">
        <w:r w:rsidR="00EC4F35" w:rsidRPr="004478D6">
          <w:rPr>
            <w:rStyle w:val="a6"/>
            <w:rFonts w:ascii="宋体" w:hAnsi="宋体" w:cs="宋体"/>
            <w:noProof/>
          </w:rPr>
          <w:t>13.2</w:t>
        </w:r>
        <w:r w:rsidR="00EC4F35" w:rsidRPr="004478D6">
          <w:rPr>
            <w:rStyle w:val="a6"/>
            <w:rFonts w:ascii="宋体" w:hAnsi="宋体" w:cs="宋体" w:hint="eastAsia"/>
            <w:noProof/>
          </w:rPr>
          <w:t>阅读课程实施大纲，理解其内容</w:t>
        </w:r>
        <w:r w:rsidR="00EC4F35">
          <w:rPr>
            <w:noProof/>
          </w:rPr>
          <w:tab/>
        </w:r>
        <w:r>
          <w:rPr>
            <w:noProof/>
          </w:rPr>
          <w:fldChar w:fldCharType="begin"/>
        </w:r>
        <w:r w:rsidR="00EC4F35">
          <w:rPr>
            <w:noProof/>
          </w:rPr>
          <w:instrText xml:space="preserve"> PAGEREF _Toc474271888 \h </w:instrText>
        </w:r>
        <w:r>
          <w:rPr>
            <w:noProof/>
          </w:rPr>
        </w:r>
        <w:r>
          <w:rPr>
            <w:noProof/>
          </w:rPr>
          <w:fldChar w:fldCharType="separate"/>
        </w:r>
        <w:r w:rsidR="00EC4F35">
          <w:rPr>
            <w:noProof/>
          </w:rPr>
          <w:t>153</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89" w:history="1">
        <w:r w:rsidR="00EC4F35" w:rsidRPr="004478D6">
          <w:rPr>
            <w:rStyle w:val="a6"/>
            <w:rFonts w:ascii="宋体" w:hAnsi="宋体" w:cs="宋体"/>
            <w:noProof/>
          </w:rPr>
          <w:t>13.3</w:t>
        </w:r>
        <w:r w:rsidR="00EC4F35" w:rsidRPr="004478D6">
          <w:rPr>
            <w:rStyle w:val="a6"/>
            <w:rFonts w:ascii="宋体" w:hAnsi="宋体" w:cs="宋体" w:hint="eastAsia"/>
            <w:noProof/>
          </w:rPr>
          <w:t>同意遵守课程实施大纲中阐述的标准和期望</w:t>
        </w:r>
        <w:r w:rsidR="00EC4F35">
          <w:rPr>
            <w:noProof/>
          </w:rPr>
          <w:tab/>
        </w:r>
        <w:r>
          <w:rPr>
            <w:noProof/>
          </w:rPr>
          <w:fldChar w:fldCharType="begin"/>
        </w:r>
        <w:r w:rsidR="00EC4F35">
          <w:rPr>
            <w:noProof/>
          </w:rPr>
          <w:instrText xml:space="preserve"> PAGEREF _Toc474271889 \h </w:instrText>
        </w:r>
        <w:r>
          <w:rPr>
            <w:noProof/>
          </w:rPr>
        </w:r>
        <w:r>
          <w:rPr>
            <w:noProof/>
          </w:rPr>
          <w:fldChar w:fldCharType="separate"/>
        </w:r>
        <w:r w:rsidR="00EC4F35">
          <w:rPr>
            <w:noProof/>
          </w:rPr>
          <w:t>153</w:t>
        </w:r>
        <w:r>
          <w:rPr>
            <w:noProof/>
          </w:rPr>
          <w:fldChar w:fldCharType="end"/>
        </w:r>
      </w:hyperlink>
    </w:p>
    <w:p w:rsidR="00EC4F35" w:rsidRDefault="00EF6E22">
      <w:pPr>
        <w:pStyle w:val="20"/>
        <w:tabs>
          <w:tab w:val="right" w:leader="dot" w:pos="9062"/>
        </w:tabs>
        <w:rPr>
          <w:rFonts w:asciiTheme="minorHAnsi" w:eastAsiaTheme="minorEastAsia" w:hAnsiTheme="minorHAnsi" w:cstheme="minorBidi"/>
          <w:noProof/>
          <w:szCs w:val="22"/>
        </w:rPr>
      </w:pPr>
      <w:hyperlink w:anchor="_Toc474271890" w:history="1">
        <w:r w:rsidR="00EC4F35" w:rsidRPr="004478D6">
          <w:rPr>
            <w:rStyle w:val="a6"/>
            <w:rFonts w:ascii="黑体" w:hAnsi="黑体" w:cs="宋体"/>
            <w:noProof/>
          </w:rPr>
          <w:t xml:space="preserve">14 </w:t>
        </w:r>
        <w:r w:rsidR="00EC4F35" w:rsidRPr="004478D6">
          <w:rPr>
            <w:rStyle w:val="a6"/>
            <w:rFonts w:ascii="黑体" w:hAnsi="黑体" w:cs="宋体" w:hint="eastAsia"/>
            <w:noProof/>
          </w:rPr>
          <w:t>其他必要说明（或建议）</w:t>
        </w:r>
        <w:r w:rsidR="00EC4F35">
          <w:rPr>
            <w:noProof/>
          </w:rPr>
          <w:tab/>
        </w:r>
        <w:r>
          <w:rPr>
            <w:noProof/>
          </w:rPr>
          <w:fldChar w:fldCharType="begin"/>
        </w:r>
        <w:r w:rsidR="00EC4F35">
          <w:rPr>
            <w:noProof/>
          </w:rPr>
          <w:instrText xml:space="preserve"> PAGEREF _Toc474271890 \h </w:instrText>
        </w:r>
        <w:r>
          <w:rPr>
            <w:noProof/>
          </w:rPr>
        </w:r>
        <w:r>
          <w:rPr>
            <w:noProof/>
          </w:rPr>
          <w:fldChar w:fldCharType="separate"/>
        </w:r>
        <w:r w:rsidR="00EC4F35">
          <w:rPr>
            <w:noProof/>
          </w:rPr>
          <w:t>155</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91" w:history="1">
        <w:r w:rsidR="00EC4F35" w:rsidRPr="004478D6">
          <w:rPr>
            <w:rStyle w:val="a6"/>
            <w:rFonts w:ascii="宋体" w:hAnsi="宋体" w:cs="宋体"/>
            <w:noProof/>
          </w:rPr>
          <w:t>14.1</w:t>
        </w:r>
        <w:r w:rsidR="00EC4F35" w:rsidRPr="004478D6">
          <w:rPr>
            <w:rStyle w:val="a6"/>
            <w:rFonts w:ascii="宋体" w:hAnsi="宋体" w:cs="宋体" w:hint="eastAsia"/>
            <w:noProof/>
          </w:rPr>
          <w:t>课程大纲的实施原则问题</w:t>
        </w:r>
        <w:r w:rsidR="00EC4F35">
          <w:rPr>
            <w:noProof/>
          </w:rPr>
          <w:tab/>
        </w:r>
        <w:r>
          <w:rPr>
            <w:noProof/>
          </w:rPr>
          <w:fldChar w:fldCharType="begin"/>
        </w:r>
        <w:r w:rsidR="00EC4F35">
          <w:rPr>
            <w:noProof/>
          </w:rPr>
          <w:instrText xml:space="preserve"> PAGEREF _Toc474271891 \h </w:instrText>
        </w:r>
        <w:r>
          <w:rPr>
            <w:noProof/>
          </w:rPr>
        </w:r>
        <w:r>
          <w:rPr>
            <w:noProof/>
          </w:rPr>
          <w:fldChar w:fldCharType="separate"/>
        </w:r>
        <w:r w:rsidR="00EC4F35">
          <w:rPr>
            <w:noProof/>
          </w:rPr>
          <w:t>155</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92" w:history="1">
        <w:r w:rsidR="00EC4F35" w:rsidRPr="004478D6">
          <w:rPr>
            <w:rStyle w:val="a6"/>
            <w:rFonts w:ascii="宋体" w:hAnsi="宋体" w:cs="宋体"/>
            <w:noProof/>
          </w:rPr>
          <w:t>14.2</w:t>
        </w:r>
        <w:r w:rsidR="00EC4F35" w:rsidRPr="004478D6">
          <w:rPr>
            <w:rStyle w:val="a6"/>
            <w:rFonts w:ascii="宋体" w:hAnsi="宋体" w:cs="宋体" w:hint="eastAsia"/>
            <w:noProof/>
          </w:rPr>
          <w:t>课程大纲实施过程的重点界定</w:t>
        </w:r>
        <w:r w:rsidR="00EC4F35">
          <w:rPr>
            <w:noProof/>
          </w:rPr>
          <w:tab/>
        </w:r>
        <w:r>
          <w:rPr>
            <w:noProof/>
          </w:rPr>
          <w:fldChar w:fldCharType="begin"/>
        </w:r>
        <w:r w:rsidR="00EC4F35">
          <w:rPr>
            <w:noProof/>
          </w:rPr>
          <w:instrText xml:space="preserve"> PAGEREF _Toc474271892 \h </w:instrText>
        </w:r>
        <w:r>
          <w:rPr>
            <w:noProof/>
          </w:rPr>
        </w:r>
        <w:r>
          <w:rPr>
            <w:noProof/>
          </w:rPr>
          <w:fldChar w:fldCharType="separate"/>
        </w:r>
        <w:r w:rsidR="00EC4F35">
          <w:rPr>
            <w:noProof/>
          </w:rPr>
          <w:t>155</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93" w:history="1">
        <w:r w:rsidR="00EC4F35" w:rsidRPr="004478D6">
          <w:rPr>
            <w:rStyle w:val="a6"/>
            <w:rFonts w:ascii="宋体" w:hAnsi="宋体" w:cs="宋体"/>
            <w:noProof/>
          </w:rPr>
          <w:t>14.3</w:t>
        </w:r>
        <w:r w:rsidR="00EC4F35" w:rsidRPr="004478D6">
          <w:rPr>
            <w:rStyle w:val="a6"/>
            <w:rFonts w:ascii="宋体" w:hAnsi="宋体" w:cs="宋体" w:hint="eastAsia"/>
            <w:noProof/>
          </w:rPr>
          <w:t>课程大纲实施的阶段规划</w:t>
        </w:r>
        <w:r w:rsidR="00EC4F35">
          <w:rPr>
            <w:noProof/>
          </w:rPr>
          <w:tab/>
        </w:r>
        <w:r>
          <w:rPr>
            <w:noProof/>
          </w:rPr>
          <w:fldChar w:fldCharType="begin"/>
        </w:r>
        <w:r w:rsidR="00EC4F35">
          <w:rPr>
            <w:noProof/>
          </w:rPr>
          <w:instrText xml:space="preserve"> PAGEREF _Toc474271893 \h </w:instrText>
        </w:r>
        <w:r>
          <w:rPr>
            <w:noProof/>
          </w:rPr>
        </w:r>
        <w:r>
          <w:rPr>
            <w:noProof/>
          </w:rPr>
          <w:fldChar w:fldCharType="separate"/>
        </w:r>
        <w:r w:rsidR="00EC4F35">
          <w:rPr>
            <w:noProof/>
          </w:rPr>
          <w:t>155</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94" w:history="1">
        <w:r w:rsidR="00EC4F35" w:rsidRPr="004478D6">
          <w:rPr>
            <w:rStyle w:val="a6"/>
            <w:rFonts w:ascii="宋体" w:hAnsi="宋体" w:cs="宋体"/>
            <w:noProof/>
          </w:rPr>
          <w:t>14.4</w:t>
        </w:r>
        <w:r w:rsidR="00EC4F35" w:rsidRPr="004478D6">
          <w:rPr>
            <w:rStyle w:val="a6"/>
            <w:rFonts w:ascii="宋体" w:hAnsi="宋体" w:cs="宋体" w:hint="eastAsia"/>
            <w:noProof/>
          </w:rPr>
          <w:t>课程大纲实施中的课堂伦理</w:t>
        </w:r>
        <w:r w:rsidR="00EC4F35">
          <w:rPr>
            <w:noProof/>
          </w:rPr>
          <w:tab/>
        </w:r>
        <w:r>
          <w:rPr>
            <w:noProof/>
          </w:rPr>
          <w:fldChar w:fldCharType="begin"/>
        </w:r>
        <w:r w:rsidR="00EC4F35">
          <w:rPr>
            <w:noProof/>
          </w:rPr>
          <w:instrText xml:space="preserve"> PAGEREF _Toc474271894 \h </w:instrText>
        </w:r>
        <w:r>
          <w:rPr>
            <w:noProof/>
          </w:rPr>
        </w:r>
        <w:r>
          <w:rPr>
            <w:noProof/>
          </w:rPr>
          <w:fldChar w:fldCharType="separate"/>
        </w:r>
        <w:r w:rsidR="00EC4F35">
          <w:rPr>
            <w:noProof/>
          </w:rPr>
          <w:t>156</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95" w:history="1">
        <w:r w:rsidR="00EC4F35" w:rsidRPr="004478D6">
          <w:rPr>
            <w:rStyle w:val="a6"/>
            <w:rFonts w:ascii="宋体" w:hAnsi="宋体" w:cs="宋体"/>
            <w:noProof/>
          </w:rPr>
          <w:t>14.5</w:t>
        </w:r>
        <w:r w:rsidR="00EC4F35" w:rsidRPr="004478D6">
          <w:rPr>
            <w:rStyle w:val="a6"/>
            <w:rFonts w:ascii="宋体" w:hAnsi="宋体" w:cs="宋体" w:hint="eastAsia"/>
            <w:noProof/>
          </w:rPr>
          <w:t>考核指导思想</w:t>
        </w:r>
        <w:r w:rsidR="00EC4F35">
          <w:rPr>
            <w:noProof/>
          </w:rPr>
          <w:tab/>
        </w:r>
        <w:r>
          <w:rPr>
            <w:noProof/>
          </w:rPr>
          <w:fldChar w:fldCharType="begin"/>
        </w:r>
        <w:r w:rsidR="00EC4F35">
          <w:rPr>
            <w:noProof/>
          </w:rPr>
          <w:instrText xml:space="preserve"> PAGEREF _Toc474271895 \h </w:instrText>
        </w:r>
        <w:r>
          <w:rPr>
            <w:noProof/>
          </w:rPr>
        </w:r>
        <w:r>
          <w:rPr>
            <w:noProof/>
          </w:rPr>
          <w:fldChar w:fldCharType="separate"/>
        </w:r>
        <w:r w:rsidR="00EC4F35">
          <w:rPr>
            <w:noProof/>
          </w:rPr>
          <w:t>156</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96" w:history="1">
        <w:r w:rsidR="00EC4F35" w:rsidRPr="004478D6">
          <w:rPr>
            <w:rStyle w:val="a6"/>
            <w:rFonts w:ascii="宋体" w:hAnsi="宋体" w:cs="宋体"/>
            <w:noProof/>
          </w:rPr>
          <w:t>14.6</w:t>
        </w:r>
        <w:r w:rsidR="00EC4F35" w:rsidRPr="004478D6">
          <w:rPr>
            <w:rStyle w:val="a6"/>
            <w:rFonts w:ascii="宋体" w:hAnsi="宋体" w:cs="宋体" w:hint="eastAsia"/>
            <w:noProof/>
          </w:rPr>
          <w:t>基于双边关系的诚信内涵界定</w:t>
        </w:r>
        <w:r w:rsidR="00EC4F35">
          <w:rPr>
            <w:noProof/>
          </w:rPr>
          <w:tab/>
        </w:r>
        <w:r>
          <w:rPr>
            <w:noProof/>
          </w:rPr>
          <w:fldChar w:fldCharType="begin"/>
        </w:r>
        <w:r w:rsidR="00EC4F35">
          <w:rPr>
            <w:noProof/>
          </w:rPr>
          <w:instrText xml:space="preserve"> PAGEREF _Toc474271896 \h </w:instrText>
        </w:r>
        <w:r>
          <w:rPr>
            <w:noProof/>
          </w:rPr>
        </w:r>
        <w:r>
          <w:rPr>
            <w:noProof/>
          </w:rPr>
          <w:fldChar w:fldCharType="separate"/>
        </w:r>
        <w:r w:rsidR="00EC4F35">
          <w:rPr>
            <w:noProof/>
          </w:rPr>
          <w:t>156</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97" w:history="1">
        <w:r w:rsidR="00EC4F35" w:rsidRPr="004478D6">
          <w:rPr>
            <w:rStyle w:val="a6"/>
            <w:rFonts w:ascii="宋体" w:hAnsi="宋体" w:cs="宋体"/>
            <w:noProof/>
          </w:rPr>
          <w:t>14.7</w:t>
        </w:r>
        <w:r w:rsidR="00EC4F35" w:rsidRPr="004478D6">
          <w:rPr>
            <w:rStyle w:val="a6"/>
            <w:rFonts w:ascii="宋体" w:hAnsi="宋体" w:cs="宋体" w:hint="eastAsia"/>
            <w:noProof/>
          </w:rPr>
          <w:t>教学方法及运用中应注意的问题</w:t>
        </w:r>
        <w:r w:rsidR="00EC4F35">
          <w:rPr>
            <w:noProof/>
          </w:rPr>
          <w:tab/>
        </w:r>
        <w:r>
          <w:rPr>
            <w:noProof/>
          </w:rPr>
          <w:fldChar w:fldCharType="begin"/>
        </w:r>
        <w:r w:rsidR="00EC4F35">
          <w:rPr>
            <w:noProof/>
          </w:rPr>
          <w:instrText xml:space="preserve"> PAGEREF _Toc474271897 \h </w:instrText>
        </w:r>
        <w:r>
          <w:rPr>
            <w:noProof/>
          </w:rPr>
        </w:r>
        <w:r>
          <w:rPr>
            <w:noProof/>
          </w:rPr>
          <w:fldChar w:fldCharType="separate"/>
        </w:r>
        <w:r w:rsidR="00EC4F35">
          <w:rPr>
            <w:noProof/>
          </w:rPr>
          <w:t>157</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98" w:history="1">
        <w:r w:rsidR="00EC4F35" w:rsidRPr="004478D6">
          <w:rPr>
            <w:rStyle w:val="a6"/>
            <w:rFonts w:ascii="宋体" w:hAnsi="宋体" w:cs="宋体"/>
            <w:noProof/>
          </w:rPr>
          <w:t>14.7.1</w:t>
        </w:r>
        <w:r w:rsidR="00EC4F35" w:rsidRPr="004478D6">
          <w:rPr>
            <w:rStyle w:val="a6"/>
            <w:rFonts w:ascii="宋体" w:hAnsi="宋体" w:cs="宋体" w:hint="eastAsia"/>
            <w:noProof/>
          </w:rPr>
          <w:t>课堂讲授</w:t>
        </w:r>
        <w:r w:rsidR="00EC4F35">
          <w:rPr>
            <w:noProof/>
          </w:rPr>
          <w:tab/>
        </w:r>
        <w:r>
          <w:rPr>
            <w:noProof/>
          </w:rPr>
          <w:fldChar w:fldCharType="begin"/>
        </w:r>
        <w:r w:rsidR="00EC4F35">
          <w:rPr>
            <w:noProof/>
          </w:rPr>
          <w:instrText xml:space="preserve"> PAGEREF _Toc474271898 \h </w:instrText>
        </w:r>
        <w:r>
          <w:rPr>
            <w:noProof/>
          </w:rPr>
        </w:r>
        <w:r>
          <w:rPr>
            <w:noProof/>
          </w:rPr>
          <w:fldChar w:fldCharType="separate"/>
        </w:r>
        <w:r w:rsidR="00EC4F35">
          <w:rPr>
            <w:noProof/>
          </w:rPr>
          <w:t>157</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899" w:history="1">
        <w:r w:rsidR="00EC4F35" w:rsidRPr="004478D6">
          <w:rPr>
            <w:rStyle w:val="a6"/>
            <w:rFonts w:ascii="宋体" w:hAnsi="宋体" w:cs="宋体"/>
            <w:noProof/>
          </w:rPr>
          <w:t>14.7.2</w:t>
        </w:r>
        <w:r w:rsidR="00EC4F35" w:rsidRPr="004478D6">
          <w:rPr>
            <w:rStyle w:val="a6"/>
            <w:rFonts w:ascii="宋体" w:hAnsi="宋体" w:cs="宋体" w:hint="eastAsia"/>
            <w:noProof/>
          </w:rPr>
          <w:t>案例分析</w:t>
        </w:r>
        <w:r w:rsidR="00EC4F35">
          <w:rPr>
            <w:noProof/>
          </w:rPr>
          <w:tab/>
        </w:r>
        <w:r>
          <w:rPr>
            <w:noProof/>
          </w:rPr>
          <w:fldChar w:fldCharType="begin"/>
        </w:r>
        <w:r w:rsidR="00EC4F35">
          <w:rPr>
            <w:noProof/>
          </w:rPr>
          <w:instrText xml:space="preserve"> PAGEREF _Toc474271899 \h </w:instrText>
        </w:r>
        <w:r>
          <w:rPr>
            <w:noProof/>
          </w:rPr>
        </w:r>
        <w:r>
          <w:rPr>
            <w:noProof/>
          </w:rPr>
          <w:fldChar w:fldCharType="separate"/>
        </w:r>
        <w:r w:rsidR="00EC4F35">
          <w:rPr>
            <w:noProof/>
          </w:rPr>
          <w:t>157</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900" w:history="1">
        <w:r w:rsidR="00EC4F35" w:rsidRPr="004478D6">
          <w:rPr>
            <w:rStyle w:val="a6"/>
            <w:rFonts w:ascii="宋体" w:hAnsi="宋体" w:cs="宋体"/>
            <w:noProof/>
          </w:rPr>
          <w:t>14.7.3</w:t>
        </w:r>
        <w:r w:rsidR="00EC4F35" w:rsidRPr="004478D6">
          <w:rPr>
            <w:rStyle w:val="a6"/>
            <w:rFonts w:ascii="宋体" w:hAnsi="宋体" w:cs="宋体" w:hint="eastAsia"/>
            <w:noProof/>
          </w:rPr>
          <w:t>专题讨论</w:t>
        </w:r>
        <w:r w:rsidR="00EC4F35">
          <w:rPr>
            <w:noProof/>
          </w:rPr>
          <w:tab/>
        </w:r>
        <w:r>
          <w:rPr>
            <w:noProof/>
          </w:rPr>
          <w:fldChar w:fldCharType="begin"/>
        </w:r>
        <w:r w:rsidR="00EC4F35">
          <w:rPr>
            <w:noProof/>
          </w:rPr>
          <w:instrText xml:space="preserve"> PAGEREF _Toc474271900 \h </w:instrText>
        </w:r>
        <w:r>
          <w:rPr>
            <w:noProof/>
          </w:rPr>
        </w:r>
        <w:r>
          <w:rPr>
            <w:noProof/>
          </w:rPr>
          <w:fldChar w:fldCharType="separate"/>
        </w:r>
        <w:r w:rsidR="00EC4F35">
          <w:rPr>
            <w:noProof/>
          </w:rPr>
          <w:t>158</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901" w:history="1">
        <w:r w:rsidR="00EC4F35" w:rsidRPr="004478D6">
          <w:rPr>
            <w:rStyle w:val="a6"/>
            <w:rFonts w:ascii="宋体" w:hAnsi="宋体" w:cs="宋体"/>
            <w:noProof/>
          </w:rPr>
          <w:t>13.7.4</w:t>
        </w:r>
        <w:r w:rsidR="00EC4F35" w:rsidRPr="004478D6">
          <w:rPr>
            <w:rStyle w:val="a6"/>
            <w:rFonts w:ascii="宋体" w:hAnsi="宋体" w:cs="宋体" w:hint="eastAsia"/>
            <w:noProof/>
          </w:rPr>
          <w:t>驱动学习法</w:t>
        </w:r>
        <w:r w:rsidR="00EC4F35">
          <w:rPr>
            <w:noProof/>
          </w:rPr>
          <w:tab/>
        </w:r>
        <w:r>
          <w:rPr>
            <w:noProof/>
          </w:rPr>
          <w:fldChar w:fldCharType="begin"/>
        </w:r>
        <w:r w:rsidR="00EC4F35">
          <w:rPr>
            <w:noProof/>
          </w:rPr>
          <w:instrText xml:space="preserve"> PAGEREF _Toc474271901 \h </w:instrText>
        </w:r>
        <w:r>
          <w:rPr>
            <w:noProof/>
          </w:rPr>
        </w:r>
        <w:r>
          <w:rPr>
            <w:noProof/>
          </w:rPr>
          <w:fldChar w:fldCharType="separate"/>
        </w:r>
        <w:r w:rsidR="00EC4F35">
          <w:rPr>
            <w:noProof/>
          </w:rPr>
          <w:t>158</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902" w:history="1">
        <w:r w:rsidR="00EC4F35" w:rsidRPr="004478D6">
          <w:rPr>
            <w:rStyle w:val="a6"/>
            <w:rFonts w:ascii="宋体" w:hAnsi="宋体" w:cs="宋体"/>
            <w:noProof/>
          </w:rPr>
          <w:t>14.7.5</w:t>
        </w:r>
        <w:r w:rsidR="00EC4F35" w:rsidRPr="004478D6">
          <w:rPr>
            <w:rStyle w:val="a6"/>
            <w:rFonts w:ascii="宋体" w:hAnsi="宋体" w:cs="宋体" w:hint="eastAsia"/>
            <w:noProof/>
          </w:rPr>
          <w:t>自主学习法</w:t>
        </w:r>
        <w:r w:rsidR="00EC4F35">
          <w:rPr>
            <w:noProof/>
          </w:rPr>
          <w:tab/>
        </w:r>
        <w:r>
          <w:rPr>
            <w:noProof/>
          </w:rPr>
          <w:fldChar w:fldCharType="begin"/>
        </w:r>
        <w:r w:rsidR="00EC4F35">
          <w:rPr>
            <w:noProof/>
          </w:rPr>
          <w:instrText xml:space="preserve"> PAGEREF _Toc474271902 \h </w:instrText>
        </w:r>
        <w:r>
          <w:rPr>
            <w:noProof/>
          </w:rPr>
        </w:r>
        <w:r>
          <w:rPr>
            <w:noProof/>
          </w:rPr>
          <w:fldChar w:fldCharType="separate"/>
        </w:r>
        <w:r w:rsidR="00EC4F35">
          <w:rPr>
            <w:noProof/>
          </w:rPr>
          <w:t>158</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903" w:history="1">
        <w:r w:rsidR="00EC4F35" w:rsidRPr="004478D6">
          <w:rPr>
            <w:rStyle w:val="a6"/>
            <w:rFonts w:ascii="宋体" w:hAnsi="宋体" w:cs="宋体"/>
            <w:noProof/>
          </w:rPr>
          <w:t>14.7.6</w:t>
        </w:r>
        <w:r w:rsidR="00EC4F35" w:rsidRPr="004478D6">
          <w:rPr>
            <w:rStyle w:val="a6"/>
            <w:rFonts w:ascii="宋体" w:hAnsi="宋体" w:cs="宋体" w:hint="eastAsia"/>
            <w:noProof/>
          </w:rPr>
          <w:t>练习法</w:t>
        </w:r>
        <w:r w:rsidR="00EC4F35">
          <w:rPr>
            <w:noProof/>
          </w:rPr>
          <w:tab/>
        </w:r>
        <w:r>
          <w:rPr>
            <w:noProof/>
          </w:rPr>
          <w:fldChar w:fldCharType="begin"/>
        </w:r>
        <w:r w:rsidR="00EC4F35">
          <w:rPr>
            <w:noProof/>
          </w:rPr>
          <w:instrText xml:space="preserve"> PAGEREF _Toc474271903 \h </w:instrText>
        </w:r>
        <w:r>
          <w:rPr>
            <w:noProof/>
          </w:rPr>
        </w:r>
        <w:r>
          <w:rPr>
            <w:noProof/>
          </w:rPr>
          <w:fldChar w:fldCharType="separate"/>
        </w:r>
        <w:r w:rsidR="00EC4F35">
          <w:rPr>
            <w:noProof/>
          </w:rPr>
          <w:t>159</w:t>
        </w:r>
        <w:r>
          <w:rPr>
            <w:noProof/>
          </w:rPr>
          <w:fldChar w:fldCharType="end"/>
        </w:r>
      </w:hyperlink>
    </w:p>
    <w:p w:rsidR="00EC4F35" w:rsidRDefault="00EF6E22">
      <w:pPr>
        <w:pStyle w:val="30"/>
        <w:tabs>
          <w:tab w:val="right" w:leader="dot" w:pos="9062"/>
        </w:tabs>
        <w:rPr>
          <w:rFonts w:asciiTheme="minorHAnsi" w:eastAsiaTheme="minorEastAsia" w:hAnsiTheme="minorHAnsi" w:cstheme="minorBidi"/>
          <w:noProof/>
          <w:szCs w:val="22"/>
        </w:rPr>
      </w:pPr>
      <w:hyperlink w:anchor="_Toc474271904" w:history="1">
        <w:r w:rsidR="00EC4F35" w:rsidRPr="004478D6">
          <w:rPr>
            <w:rStyle w:val="a6"/>
            <w:rFonts w:ascii="宋体" w:hAnsi="宋体" w:cs="宋体"/>
            <w:noProof/>
          </w:rPr>
          <w:t>14.8</w:t>
        </w:r>
        <w:r w:rsidR="00EC4F35" w:rsidRPr="004478D6">
          <w:rPr>
            <w:rStyle w:val="a6"/>
            <w:rFonts w:ascii="宋体" w:hAnsi="宋体" w:cs="宋体" w:hint="eastAsia"/>
            <w:noProof/>
          </w:rPr>
          <w:t>课程大纲实施过程的辅助制表</w:t>
        </w:r>
        <w:r w:rsidR="00EC4F35">
          <w:rPr>
            <w:noProof/>
          </w:rPr>
          <w:tab/>
        </w:r>
        <w:r>
          <w:rPr>
            <w:noProof/>
          </w:rPr>
          <w:fldChar w:fldCharType="begin"/>
        </w:r>
        <w:r w:rsidR="00EC4F35">
          <w:rPr>
            <w:noProof/>
          </w:rPr>
          <w:instrText xml:space="preserve"> PAGEREF _Toc474271904 \h </w:instrText>
        </w:r>
        <w:r>
          <w:rPr>
            <w:noProof/>
          </w:rPr>
        </w:r>
        <w:r>
          <w:rPr>
            <w:noProof/>
          </w:rPr>
          <w:fldChar w:fldCharType="separate"/>
        </w:r>
        <w:r w:rsidR="00EC4F35">
          <w:rPr>
            <w:noProof/>
          </w:rPr>
          <w:t>159</w:t>
        </w:r>
        <w:r>
          <w:rPr>
            <w:noProof/>
          </w:rPr>
          <w:fldChar w:fldCharType="end"/>
        </w:r>
      </w:hyperlink>
    </w:p>
    <w:p w:rsidR="00481206" w:rsidRPr="00481206" w:rsidRDefault="00EF6E22" w:rsidP="00481206">
      <w:pPr>
        <w:pStyle w:val="20"/>
        <w:tabs>
          <w:tab w:val="right" w:leader="dot" w:pos="8296"/>
        </w:tabs>
        <w:spacing w:line="240" w:lineRule="atLeast"/>
        <w:ind w:leftChars="0" w:left="0"/>
        <w:outlineLvl w:val="0"/>
        <w:rPr>
          <w:szCs w:val="21"/>
        </w:rPr>
      </w:pPr>
      <w:r w:rsidRPr="00481206">
        <w:rPr>
          <w:rFonts w:ascii="宋体" w:hAnsi="宋体" w:hint="eastAsia"/>
          <w:sz w:val="24"/>
        </w:rPr>
        <w:fldChar w:fldCharType="end"/>
      </w:r>
    </w:p>
    <w:p w:rsidR="00481206" w:rsidRPr="00481206" w:rsidRDefault="00481206" w:rsidP="00481206">
      <w:pPr>
        <w:spacing w:line="440" w:lineRule="exact"/>
        <w:rPr>
          <w:rFonts w:ascii="宋体" w:hAnsi="宋体" w:cs="宋体"/>
          <w:szCs w:val="21"/>
        </w:rPr>
        <w:sectPr w:rsidR="00481206" w:rsidRPr="00481206">
          <w:headerReference w:type="default" r:id="rId10"/>
          <w:footnotePr>
            <w:numFmt w:val="decimalEnclosedCircleChinese"/>
            <w:numRestart w:val="eachPage"/>
          </w:footnotePr>
          <w:pgSz w:w="11906" w:h="16838"/>
          <w:pgMar w:top="1417" w:right="1417" w:bottom="1417" w:left="1417" w:header="851" w:footer="992" w:gutter="0"/>
          <w:pgNumType w:start="1"/>
          <w:cols w:space="720"/>
          <w:docGrid w:type="lines" w:linePitch="312"/>
        </w:sectPr>
      </w:pPr>
    </w:p>
    <w:p w:rsidR="00481206" w:rsidRPr="00481206" w:rsidRDefault="00481206" w:rsidP="00481206">
      <w:pPr>
        <w:pStyle w:val="2"/>
        <w:spacing w:before="312" w:after="312" w:line="360" w:lineRule="auto"/>
        <w:jc w:val="center"/>
        <w:rPr>
          <w:rFonts w:ascii="黑体" w:hAnsi="黑体" w:cs="宋体"/>
          <w:sz w:val="44"/>
          <w:szCs w:val="21"/>
        </w:rPr>
      </w:pPr>
      <w:bookmarkStart w:id="0" w:name="_Toc403319279"/>
      <w:bookmarkStart w:id="1" w:name="_Toc3319"/>
      <w:bookmarkStart w:id="2" w:name="_Toc21682"/>
      <w:bookmarkStart w:id="3" w:name="_Toc17735"/>
      <w:bookmarkStart w:id="4" w:name="_Toc474271553"/>
      <w:r w:rsidRPr="00481206">
        <w:rPr>
          <w:rFonts w:ascii="黑体" w:hAnsi="黑体" w:cs="宋体" w:hint="eastAsia"/>
          <w:sz w:val="44"/>
          <w:szCs w:val="44"/>
        </w:rPr>
        <w:lastRenderedPageBreak/>
        <w:t>1教学理念</w:t>
      </w:r>
      <w:bookmarkEnd w:id="0"/>
      <w:bookmarkEnd w:id="1"/>
      <w:bookmarkEnd w:id="2"/>
      <w:bookmarkEnd w:id="3"/>
      <w:bookmarkEnd w:id="4"/>
    </w:p>
    <w:p w:rsidR="00481206" w:rsidRPr="00481206" w:rsidRDefault="00481206" w:rsidP="005318D5">
      <w:pPr>
        <w:pStyle w:val="3"/>
        <w:spacing w:beforeLines="50" w:after="0" w:line="360" w:lineRule="auto"/>
        <w:rPr>
          <w:rFonts w:ascii="宋体" w:hAnsi="宋体" w:cs="宋体"/>
          <w:sz w:val="28"/>
          <w:szCs w:val="28"/>
        </w:rPr>
      </w:pPr>
      <w:bookmarkStart w:id="5" w:name="_Toc403319280"/>
      <w:bookmarkStart w:id="6" w:name="_Toc9044"/>
      <w:bookmarkStart w:id="7" w:name="_Toc474271554"/>
      <w:r w:rsidRPr="00481206">
        <w:rPr>
          <w:rFonts w:ascii="宋体" w:hAnsi="宋体" w:cs="宋体" w:hint="eastAsia"/>
          <w:sz w:val="28"/>
          <w:szCs w:val="28"/>
        </w:rPr>
        <w:t>1.1关注学生的发展</w:t>
      </w:r>
      <w:bookmarkEnd w:id="5"/>
      <w:bookmarkEnd w:id="6"/>
      <w:bookmarkEnd w:id="7"/>
    </w:p>
    <w:p w:rsidR="00481206" w:rsidRPr="00481206" w:rsidRDefault="00481206" w:rsidP="00481206">
      <w:pPr>
        <w:spacing w:line="360" w:lineRule="auto"/>
        <w:rPr>
          <w:rFonts w:ascii="宋体" w:hAnsi="宋体" w:cs="宋体"/>
          <w:bCs/>
          <w:sz w:val="24"/>
        </w:rPr>
      </w:pPr>
      <w:r w:rsidRPr="00481206">
        <w:rPr>
          <w:rFonts w:ascii="宋体" w:hAnsi="宋体" w:cs="宋体" w:hint="eastAsia"/>
          <w:b/>
          <w:sz w:val="24"/>
        </w:rPr>
        <w:t xml:space="preserve">   </w:t>
      </w:r>
      <w:r w:rsidRPr="00481206">
        <w:rPr>
          <w:rFonts w:ascii="宋体" w:hAnsi="宋体" w:cs="宋体" w:hint="eastAsia"/>
          <w:bCs/>
          <w:sz w:val="24"/>
        </w:rPr>
        <w:t>理念内核为：以人为本，因材施教，以生为主，以师为导。秉承关注人、培育人和发展人的基本理念，立足于教学对象的客观实际，实事求是地因材施教，优化教学教法；发挥教师的导向功能，调动学生学习的积极性、主动性和自觉性，形成为学善学的良好习惯，创新学习方法，实现有效学习，提升学习效率。</w:t>
      </w:r>
    </w:p>
    <w:p w:rsidR="00481206" w:rsidRPr="00481206" w:rsidRDefault="00481206" w:rsidP="005318D5">
      <w:pPr>
        <w:pStyle w:val="3"/>
        <w:spacing w:beforeLines="50" w:after="0" w:line="360" w:lineRule="auto"/>
        <w:rPr>
          <w:rFonts w:ascii="宋体" w:hAnsi="宋体" w:cs="宋体"/>
          <w:sz w:val="28"/>
          <w:szCs w:val="28"/>
        </w:rPr>
      </w:pPr>
      <w:bookmarkStart w:id="8" w:name="_Toc403319281"/>
      <w:bookmarkStart w:id="9" w:name="_Toc3837"/>
      <w:bookmarkStart w:id="10" w:name="_Toc474271555"/>
      <w:r w:rsidRPr="00481206">
        <w:rPr>
          <w:rFonts w:ascii="宋体" w:hAnsi="宋体" w:cs="宋体" w:hint="eastAsia"/>
          <w:sz w:val="28"/>
          <w:szCs w:val="28"/>
        </w:rPr>
        <w:t>1.2关注教学的有效性</w:t>
      </w:r>
      <w:bookmarkEnd w:id="8"/>
      <w:bookmarkEnd w:id="9"/>
      <w:bookmarkEnd w:id="10"/>
    </w:p>
    <w:p w:rsidR="00481206" w:rsidRPr="00481206" w:rsidRDefault="00481206" w:rsidP="00481206">
      <w:pPr>
        <w:spacing w:line="360" w:lineRule="auto"/>
        <w:rPr>
          <w:sz w:val="24"/>
        </w:rPr>
      </w:pPr>
      <w:r w:rsidRPr="00481206">
        <w:rPr>
          <w:rFonts w:ascii="宋体" w:hAnsi="宋体" w:cs="宋体" w:hint="eastAsia"/>
        </w:rPr>
        <w:t xml:space="preserve">   </w:t>
      </w:r>
      <w:r w:rsidRPr="00481206">
        <w:rPr>
          <w:rFonts w:ascii="宋体" w:hAnsi="宋体" w:cs="宋体" w:hint="eastAsia"/>
          <w:b/>
          <w:sz w:val="24"/>
        </w:rPr>
        <w:t xml:space="preserve"> </w:t>
      </w:r>
      <w:r w:rsidRPr="00481206">
        <w:rPr>
          <w:rFonts w:ascii="宋体" w:hAnsi="宋体"/>
          <w:sz w:val="24"/>
        </w:rPr>
        <w:t>有效教学指的是在教学活动中教师遵循一定的教育教学</w:t>
      </w:r>
      <w:hyperlink r:id="rId11" w:tgtFrame="_blank" w:history="1">
        <w:r w:rsidRPr="00481206">
          <w:rPr>
            <w:rFonts w:ascii="宋体" w:hAnsi="宋体"/>
            <w:sz w:val="24"/>
          </w:rPr>
          <w:t>规律</w:t>
        </w:r>
      </w:hyperlink>
      <w:r w:rsidRPr="00481206">
        <w:rPr>
          <w:rFonts w:ascii="宋体" w:hAnsi="宋体"/>
          <w:sz w:val="24"/>
        </w:rPr>
        <w:t>，采用各种方式和手段，以尽可能少的时间、精力、教学设施的投入，取得尽可能多的教学效果，实现特定的教学目标，满足社会和个人的教育价值需求而组织实施的活动。</w:t>
      </w:r>
      <w:bookmarkStart w:id="11" w:name="_Toc403319282"/>
      <w:bookmarkStart w:id="12" w:name="_Toc18295"/>
      <w:r w:rsidRPr="00481206">
        <w:rPr>
          <w:rFonts w:ascii="宋体" w:hAnsi="宋体" w:hint="eastAsia"/>
          <w:sz w:val="24"/>
        </w:rPr>
        <w:t>本课程将</w:t>
      </w:r>
      <w:r w:rsidRPr="00481206">
        <w:rPr>
          <w:rFonts w:ascii="宋体" w:hAnsi="宋体"/>
          <w:sz w:val="24"/>
        </w:rPr>
        <w:t>构建一种新型的、高效率的</w:t>
      </w:r>
      <w:hyperlink r:id="rId12" w:tgtFrame="_blank" w:history="1">
        <w:r w:rsidRPr="00481206">
          <w:rPr>
            <w:rFonts w:ascii="宋体" w:hAnsi="宋体"/>
            <w:sz w:val="24"/>
          </w:rPr>
          <w:t>课堂教学模式</w:t>
        </w:r>
      </w:hyperlink>
      <w:r w:rsidRPr="00481206">
        <w:rPr>
          <w:rFonts w:ascii="宋体" w:hAnsi="宋体"/>
          <w:sz w:val="24"/>
        </w:rPr>
        <w:t>，</w:t>
      </w:r>
      <w:r w:rsidRPr="00481206">
        <w:rPr>
          <w:rFonts w:ascii="宋体" w:hAnsi="宋体" w:hint="eastAsia"/>
          <w:sz w:val="24"/>
        </w:rPr>
        <w:t>调动学生的兴趣、积极性和创造性，主动参与到教学过程中来，变被动为主动学习，提高学生兴趣，增强教学效果，既能</w:t>
      </w:r>
      <w:r w:rsidRPr="00481206">
        <w:rPr>
          <w:rFonts w:ascii="宋体" w:hAnsi="宋体"/>
          <w:sz w:val="24"/>
        </w:rPr>
        <w:t>在规定的时间内完成教学任务，较好地实现具体的教学目的，</w:t>
      </w:r>
      <w:r w:rsidRPr="00481206">
        <w:rPr>
          <w:rFonts w:ascii="宋体" w:hAnsi="宋体" w:hint="eastAsia"/>
          <w:sz w:val="24"/>
        </w:rPr>
        <w:t>又</w:t>
      </w:r>
      <w:r w:rsidRPr="00481206">
        <w:rPr>
          <w:rFonts w:ascii="宋体" w:hAnsi="宋体"/>
          <w:sz w:val="24"/>
        </w:rPr>
        <w:t>能使教师教得轻松，学生学得</w:t>
      </w:r>
      <w:r w:rsidRPr="00481206">
        <w:rPr>
          <w:sz w:val="24"/>
        </w:rPr>
        <w:t>愉快</w:t>
      </w:r>
      <w:r w:rsidRPr="00481206">
        <w:rPr>
          <w:rFonts w:hint="eastAsia"/>
          <w:sz w:val="24"/>
        </w:rPr>
        <w:t>，实现</w:t>
      </w:r>
      <w:r w:rsidRPr="00481206">
        <w:rPr>
          <w:sz w:val="24"/>
        </w:rPr>
        <w:t>高效低耗。</w:t>
      </w:r>
    </w:p>
    <w:p w:rsidR="00481206" w:rsidRPr="00481206" w:rsidRDefault="00481206" w:rsidP="00481206">
      <w:pPr>
        <w:pStyle w:val="3"/>
        <w:spacing w:before="0" w:after="0" w:line="360" w:lineRule="auto"/>
        <w:rPr>
          <w:rFonts w:ascii="宋体" w:hAnsi="宋体" w:cs="宋体"/>
          <w:sz w:val="28"/>
          <w:szCs w:val="28"/>
        </w:rPr>
      </w:pPr>
      <w:bookmarkStart w:id="13" w:name="_Toc474271556"/>
      <w:r w:rsidRPr="00481206">
        <w:rPr>
          <w:rFonts w:ascii="宋体" w:hAnsi="宋体" w:cs="宋体" w:hint="eastAsia"/>
          <w:sz w:val="28"/>
          <w:szCs w:val="28"/>
        </w:rPr>
        <w:t>1.3关注教学的策略</w:t>
      </w:r>
      <w:bookmarkEnd w:id="11"/>
      <w:bookmarkEnd w:id="12"/>
      <w:bookmarkEnd w:id="13"/>
    </w:p>
    <w:p w:rsidR="00481206" w:rsidRPr="00481206" w:rsidRDefault="00481206" w:rsidP="00481206">
      <w:pPr>
        <w:spacing w:line="360" w:lineRule="auto"/>
        <w:rPr>
          <w:rFonts w:ascii="宋体" w:hAnsi="宋体" w:cs="宋体"/>
          <w:sz w:val="24"/>
        </w:rPr>
      </w:pPr>
      <w:r w:rsidRPr="00481206">
        <w:rPr>
          <w:rFonts w:ascii="宋体" w:hAnsi="宋体" w:cs="宋体" w:hint="eastAsia"/>
          <w:b/>
          <w:sz w:val="24"/>
        </w:rPr>
        <w:t xml:space="preserve">   </w:t>
      </w:r>
      <w:r w:rsidRPr="00481206">
        <w:rPr>
          <w:rFonts w:ascii="宋体" w:hAnsi="宋体" w:cs="宋体" w:hint="eastAsia"/>
          <w:bCs/>
          <w:sz w:val="24"/>
        </w:rPr>
        <w:t xml:space="preserve"> 理念内核为：严肃过程，求实创新，先念为纲，灵感为形。</w:t>
      </w:r>
      <w:r w:rsidRPr="00481206">
        <w:rPr>
          <w:rFonts w:ascii="宋体" w:hAnsi="宋体" w:cs="宋体" w:hint="eastAsia"/>
          <w:sz w:val="24"/>
        </w:rPr>
        <w:t>立足于制度规范，克服课程教学实施过程中可能滋生的随意性和放任散漫，做到教与学的务实；同时避免胶柱鼓瑟，在拟定课程教学大纲的指导下，积极关注和探索教学工作在方式方法上的创新，追求多样化的实现形式，求真务实，做到不拘一格。</w:t>
      </w:r>
    </w:p>
    <w:p w:rsidR="00481206" w:rsidRPr="00481206" w:rsidRDefault="00481206" w:rsidP="005318D5">
      <w:pPr>
        <w:pStyle w:val="3"/>
        <w:spacing w:beforeLines="50" w:after="0" w:line="360" w:lineRule="auto"/>
        <w:rPr>
          <w:rFonts w:ascii="宋体" w:hAnsi="宋体" w:cs="宋体"/>
          <w:sz w:val="28"/>
          <w:szCs w:val="28"/>
        </w:rPr>
      </w:pPr>
      <w:bookmarkStart w:id="14" w:name="_Toc403319283"/>
      <w:bookmarkStart w:id="15" w:name="_Toc21656"/>
      <w:bookmarkStart w:id="16" w:name="_Toc474271557"/>
      <w:r w:rsidRPr="00481206">
        <w:rPr>
          <w:rFonts w:ascii="宋体" w:hAnsi="宋体" w:cs="宋体" w:hint="eastAsia"/>
          <w:sz w:val="28"/>
          <w:szCs w:val="28"/>
        </w:rPr>
        <w:t>1.4关注教学价值观</w:t>
      </w:r>
      <w:bookmarkEnd w:id="14"/>
      <w:bookmarkEnd w:id="15"/>
      <w:bookmarkEnd w:id="16"/>
    </w:p>
    <w:p w:rsidR="00481206" w:rsidRPr="00481206" w:rsidRDefault="00481206" w:rsidP="00481206">
      <w:pPr>
        <w:spacing w:line="360" w:lineRule="auto"/>
        <w:rPr>
          <w:rFonts w:ascii="宋体" w:hAnsi="宋体" w:cs="宋体"/>
          <w:sz w:val="24"/>
        </w:rPr>
      </w:pPr>
      <w:r w:rsidRPr="00481206">
        <w:rPr>
          <w:rFonts w:ascii="宋体" w:hAnsi="宋体" w:cs="宋体" w:hint="eastAsia"/>
          <w:b/>
          <w:sz w:val="24"/>
        </w:rPr>
        <w:t xml:space="preserve">   </w:t>
      </w:r>
      <w:r w:rsidRPr="00481206">
        <w:rPr>
          <w:rFonts w:ascii="宋体" w:hAnsi="宋体" w:cs="宋体" w:hint="eastAsia"/>
          <w:bCs/>
          <w:sz w:val="24"/>
        </w:rPr>
        <w:t xml:space="preserve"> 理念内核为：德才双馨，内外兼修，以德为体，以才为用。</w:t>
      </w:r>
      <w:r w:rsidRPr="00481206">
        <w:rPr>
          <w:rFonts w:ascii="宋体" w:hAnsi="宋体" w:cs="宋体" w:hint="eastAsia"/>
          <w:sz w:val="24"/>
        </w:rPr>
        <w:t>教师当以学高为师，以身正为范，以约束、规范和优化自身的行为，并发挥榜样示范作用。对学生的教育与培养当做到德才并举，它表达了人才培养与社会主义核心价值观相统一的内在诉求。唯有以德为体，以才为用，方能图远，实现修身、齐家、治国平天下目标的和谐统一。</w:t>
      </w:r>
    </w:p>
    <w:p w:rsidR="00481206" w:rsidRPr="00481206" w:rsidRDefault="00481206" w:rsidP="00481206">
      <w:pPr>
        <w:pStyle w:val="2"/>
        <w:spacing w:before="312" w:after="312" w:line="360" w:lineRule="auto"/>
        <w:jc w:val="center"/>
        <w:rPr>
          <w:rFonts w:ascii="黑体" w:hAnsi="黑体" w:cs="宋体"/>
          <w:sz w:val="44"/>
          <w:szCs w:val="44"/>
        </w:rPr>
      </w:pPr>
      <w:r w:rsidRPr="00481206">
        <w:rPr>
          <w:rFonts w:ascii="宋体" w:hAnsi="宋体" w:cs="宋体" w:hint="eastAsia"/>
          <w:sz w:val="24"/>
        </w:rPr>
        <w:br w:type="page"/>
      </w:r>
      <w:bookmarkStart w:id="17" w:name="_Toc403319284"/>
      <w:bookmarkStart w:id="18" w:name="_Toc20152"/>
      <w:bookmarkStart w:id="19" w:name="_Toc20879"/>
      <w:bookmarkStart w:id="20" w:name="_Toc17208"/>
      <w:bookmarkStart w:id="21" w:name="_Toc474271558"/>
      <w:bookmarkStart w:id="22" w:name="_Toc403319285"/>
      <w:bookmarkStart w:id="23" w:name="_Toc27715"/>
      <w:r w:rsidRPr="00481206">
        <w:rPr>
          <w:rFonts w:ascii="黑体" w:hAnsi="黑体" w:cs="宋体" w:hint="eastAsia"/>
          <w:bCs w:val="0"/>
          <w:sz w:val="44"/>
          <w:szCs w:val="44"/>
        </w:rPr>
        <w:lastRenderedPageBreak/>
        <w:t>2 课程介绍</w:t>
      </w:r>
      <w:bookmarkEnd w:id="17"/>
      <w:bookmarkEnd w:id="18"/>
      <w:bookmarkEnd w:id="19"/>
      <w:bookmarkEnd w:id="20"/>
      <w:bookmarkEnd w:id="21"/>
    </w:p>
    <w:p w:rsidR="00481206" w:rsidRPr="00481206" w:rsidRDefault="00481206" w:rsidP="00481206">
      <w:pPr>
        <w:pStyle w:val="3"/>
        <w:spacing w:before="0" w:after="0" w:line="360" w:lineRule="auto"/>
        <w:rPr>
          <w:rFonts w:ascii="宋体" w:hAnsi="宋体" w:cs="宋体"/>
          <w:sz w:val="28"/>
          <w:szCs w:val="28"/>
        </w:rPr>
      </w:pPr>
      <w:bookmarkStart w:id="24" w:name="_Toc474271559"/>
      <w:r w:rsidRPr="00481206">
        <w:rPr>
          <w:rFonts w:ascii="宋体" w:hAnsi="宋体" w:cs="宋体" w:hint="eastAsia"/>
          <w:sz w:val="28"/>
          <w:szCs w:val="28"/>
        </w:rPr>
        <w:t>2.1课程的性质</w:t>
      </w:r>
      <w:bookmarkEnd w:id="22"/>
      <w:bookmarkEnd w:id="23"/>
      <w:bookmarkEnd w:id="24"/>
    </w:p>
    <w:p w:rsidR="00481206" w:rsidRPr="00481206" w:rsidRDefault="00481206" w:rsidP="00481206">
      <w:pPr>
        <w:spacing w:line="360" w:lineRule="auto"/>
        <w:rPr>
          <w:rFonts w:ascii="宋体" w:hAnsi="宋体"/>
          <w:sz w:val="24"/>
        </w:rPr>
      </w:pPr>
      <w:r w:rsidRPr="00481206">
        <w:rPr>
          <w:rFonts w:hint="eastAsia"/>
          <w:sz w:val="24"/>
        </w:rPr>
        <w:t xml:space="preserve">  </w:t>
      </w:r>
      <w:r w:rsidRPr="00481206">
        <w:rPr>
          <w:rFonts w:ascii="宋体" w:hAnsi="宋体" w:hint="eastAsia"/>
          <w:sz w:val="24"/>
        </w:rPr>
        <w:t xml:space="preserve">  </w:t>
      </w:r>
      <w:r w:rsidRPr="00481206">
        <w:rPr>
          <w:rFonts w:ascii="宋体" w:hAnsi="宋体"/>
          <w:sz w:val="24"/>
        </w:rPr>
        <w:t>“</w:t>
      </w:r>
      <w:r w:rsidRPr="00481206">
        <w:rPr>
          <w:rFonts w:ascii="宋体" w:hAnsi="宋体" w:hint="eastAsia"/>
          <w:sz w:val="24"/>
        </w:rPr>
        <w:t>衍生金融产品概论”是经济类（包括经济、金融、财政、管理及其相关财经类）专业的一门重要的专业课，针对已具备高等数学、西方经济学和金融学基础知识的本科或专科生开设。</w:t>
      </w:r>
    </w:p>
    <w:p w:rsidR="00481206" w:rsidRPr="00481206" w:rsidRDefault="00481206" w:rsidP="00481206">
      <w:pPr>
        <w:spacing w:line="360" w:lineRule="auto"/>
        <w:rPr>
          <w:rFonts w:ascii="宋体" w:hAnsi="宋体"/>
          <w:sz w:val="24"/>
        </w:rPr>
      </w:pPr>
      <w:r w:rsidRPr="00481206">
        <w:rPr>
          <w:rFonts w:ascii="宋体" w:hAnsi="宋体" w:hint="eastAsia"/>
          <w:sz w:val="24"/>
        </w:rPr>
        <w:t xml:space="preserve">    </w:t>
      </w:r>
      <w:bookmarkStart w:id="25" w:name="_Toc19251"/>
      <w:r w:rsidRPr="00481206">
        <w:rPr>
          <w:rFonts w:ascii="宋体" w:hAnsi="宋体" w:hint="eastAsia"/>
          <w:sz w:val="24"/>
        </w:rPr>
        <w:t>2.1.1课程的基础性</w:t>
      </w:r>
      <w:bookmarkEnd w:id="25"/>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衍生金融品概论是一门重要的专业理论与实践相结合的课程，它是为适应改革开放的新形势，尤其是在我国升华对外开放，放开金融管制；以及在经济全球化的背景下，国际货币资产和产业资本跨国界营运行为激增,衍生金融产品种类和交易数量迅速增加的总体形势下,对专业人才的迫切需要而设置的。</w:t>
      </w:r>
    </w:p>
    <w:p w:rsidR="00481206" w:rsidRPr="00481206" w:rsidRDefault="00481206" w:rsidP="00481206">
      <w:pPr>
        <w:spacing w:line="360" w:lineRule="auto"/>
        <w:ind w:firstLineChars="200" w:firstLine="480"/>
        <w:rPr>
          <w:rFonts w:ascii="宋体" w:hAnsi="宋体" w:cs="宋体"/>
          <w:sz w:val="24"/>
        </w:rPr>
      </w:pPr>
      <w:r w:rsidRPr="00481206">
        <w:rPr>
          <w:rFonts w:ascii="宋体" w:hAnsi="宋体" w:hint="eastAsia"/>
          <w:sz w:val="24"/>
        </w:rPr>
        <w:t xml:space="preserve"> </w:t>
      </w:r>
      <w:bookmarkStart w:id="26" w:name="_Toc30283"/>
      <w:r w:rsidRPr="00481206">
        <w:rPr>
          <w:rFonts w:ascii="宋体" w:hAnsi="宋体" w:hint="eastAsia"/>
          <w:bCs/>
          <w:sz w:val="24"/>
        </w:rPr>
        <w:t>2.1.2课程的工具性</w:t>
      </w:r>
      <w:bookmarkEnd w:id="26"/>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通过本课程的学习,使学生认识到衍生金融品是经济发展到一定阶段的必然产物,掌握衍生金融产品投资的基本理论和方法,培养学生的全面素质,并为进一步学习其他相关学科奠定业务理论基础。</w:t>
      </w:r>
    </w:p>
    <w:p w:rsidR="00481206" w:rsidRPr="00481206" w:rsidRDefault="00481206" w:rsidP="00481206">
      <w:pPr>
        <w:spacing w:line="360" w:lineRule="auto"/>
        <w:ind w:firstLineChars="200" w:firstLine="480"/>
        <w:rPr>
          <w:rFonts w:ascii="宋体" w:hAnsi="宋体" w:cs="宋体"/>
          <w:sz w:val="24"/>
        </w:rPr>
      </w:pPr>
      <w:bookmarkStart w:id="27" w:name="_Toc8746"/>
      <w:r w:rsidRPr="00481206">
        <w:rPr>
          <w:rFonts w:ascii="宋体" w:hAnsi="宋体" w:hint="eastAsia"/>
          <w:bCs/>
          <w:sz w:val="24"/>
        </w:rPr>
        <w:t>2.1.3课程的启发性</w:t>
      </w:r>
      <w:bookmarkEnd w:id="27"/>
    </w:p>
    <w:p w:rsidR="00481206" w:rsidRPr="00481206" w:rsidRDefault="00481206" w:rsidP="00481206">
      <w:pPr>
        <w:spacing w:line="360" w:lineRule="auto"/>
        <w:ind w:firstLineChars="200" w:firstLine="480"/>
        <w:rPr>
          <w:rFonts w:ascii="宋体" w:hAnsi="宋体"/>
          <w:sz w:val="24"/>
        </w:rPr>
      </w:pPr>
      <w:bookmarkStart w:id="28" w:name="_Toc403319286"/>
      <w:bookmarkStart w:id="29" w:name="_Toc24206"/>
      <w:r w:rsidRPr="00481206">
        <w:rPr>
          <w:rFonts w:ascii="宋体" w:hAnsi="宋体" w:hint="eastAsia"/>
          <w:sz w:val="24"/>
        </w:rPr>
        <w:t>课程对投资学分析方法、思维方式和理性逻辑的塑造具有积极的支持和催化作用，使其成为一把开启专业学科知识大门的宝贵钥匙，并在现实中有重要的实践价值。</w:t>
      </w:r>
    </w:p>
    <w:p w:rsidR="00481206" w:rsidRPr="00481206" w:rsidRDefault="00481206" w:rsidP="00481206">
      <w:pPr>
        <w:pStyle w:val="3"/>
        <w:spacing w:before="0" w:after="0" w:line="360" w:lineRule="auto"/>
        <w:rPr>
          <w:rFonts w:ascii="宋体" w:hAnsi="宋体"/>
          <w:sz w:val="28"/>
          <w:szCs w:val="24"/>
        </w:rPr>
      </w:pPr>
      <w:bookmarkStart w:id="30" w:name="_Toc474271560"/>
      <w:r w:rsidRPr="00481206">
        <w:rPr>
          <w:rFonts w:ascii="宋体" w:hAnsi="宋体" w:hint="eastAsia"/>
          <w:sz w:val="28"/>
          <w:szCs w:val="24"/>
        </w:rPr>
        <w:t>2.2课程在学科专业结构中的地位、作用</w:t>
      </w:r>
      <w:bookmarkEnd w:id="28"/>
      <w:bookmarkEnd w:id="29"/>
      <w:bookmarkEnd w:id="30"/>
    </w:p>
    <w:p w:rsidR="00481206" w:rsidRPr="00481206" w:rsidRDefault="00481206" w:rsidP="00481206">
      <w:pPr>
        <w:spacing w:line="360" w:lineRule="auto"/>
        <w:ind w:firstLineChars="200" w:firstLine="480"/>
        <w:rPr>
          <w:rFonts w:ascii="宋体" w:hAnsi="宋体" w:cs="宋体"/>
          <w:sz w:val="24"/>
        </w:rPr>
      </w:pPr>
      <w:bookmarkStart w:id="31" w:name="_Toc2697"/>
      <w:r w:rsidRPr="00481206">
        <w:rPr>
          <w:rFonts w:ascii="宋体" w:hAnsi="宋体" w:cs="宋体" w:hint="eastAsia"/>
          <w:sz w:val="24"/>
        </w:rPr>
        <w:t>2.2.1课程在专业结构中的地位</w:t>
      </w:r>
      <w:bookmarkEnd w:id="31"/>
    </w:p>
    <w:p w:rsidR="00481206" w:rsidRPr="00481206" w:rsidRDefault="00481206" w:rsidP="00481206">
      <w:pPr>
        <w:spacing w:line="360" w:lineRule="auto"/>
        <w:ind w:firstLineChars="200" w:firstLine="480"/>
        <w:rPr>
          <w:rFonts w:ascii="宋体" w:hAnsi="宋体" w:cs="宋体"/>
          <w:bCs/>
          <w:sz w:val="24"/>
        </w:rPr>
      </w:pPr>
      <w:r w:rsidRPr="00481206">
        <w:rPr>
          <w:rFonts w:ascii="宋体" w:hAnsi="宋体" w:hint="eastAsia"/>
          <w:sz w:val="24"/>
        </w:rPr>
        <w:t>衍生金融产品概论吸收和借鉴投资学和经济数学的某些研究成果，在实践过程中不断完善，对加快金融产品创新、繁荣金融市场、防范金融风险等方面有着重要的实践意义，为学生分析国际经济问题、从事投资管理提供系统的理论知识和科学方法。因此，是经济类专业学生的一门重要的专业基础课程。</w:t>
      </w:r>
      <w:r w:rsidRPr="00481206">
        <w:rPr>
          <w:rFonts w:ascii="宋体" w:hAnsi="宋体" w:cs="宋体" w:hint="eastAsia"/>
          <w:bCs/>
          <w:sz w:val="24"/>
        </w:rPr>
        <w:t xml:space="preserve">    </w:t>
      </w:r>
      <w:bookmarkStart w:id="32" w:name="_Toc29476"/>
    </w:p>
    <w:p w:rsidR="00481206" w:rsidRPr="00481206" w:rsidRDefault="00481206" w:rsidP="00481206">
      <w:pPr>
        <w:spacing w:line="360" w:lineRule="auto"/>
        <w:ind w:firstLineChars="200" w:firstLine="480"/>
        <w:rPr>
          <w:rFonts w:ascii="宋体" w:hAnsi="宋体" w:cs="宋体"/>
          <w:bCs/>
          <w:sz w:val="24"/>
        </w:rPr>
      </w:pPr>
      <w:r w:rsidRPr="00481206">
        <w:rPr>
          <w:rFonts w:ascii="宋体" w:hAnsi="宋体" w:cs="宋体" w:hint="eastAsia"/>
          <w:bCs/>
          <w:sz w:val="24"/>
        </w:rPr>
        <w:t>2.2.2课程在专业结构中的作用</w:t>
      </w:r>
      <w:bookmarkStart w:id="33" w:name="_Toc403319287"/>
      <w:bookmarkStart w:id="34" w:name="_Toc6872"/>
      <w:bookmarkEnd w:id="32"/>
    </w:p>
    <w:p w:rsidR="00481206" w:rsidRPr="00481206" w:rsidRDefault="00481206" w:rsidP="00481206">
      <w:pPr>
        <w:spacing w:line="360" w:lineRule="auto"/>
        <w:ind w:firstLineChars="200" w:firstLine="480"/>
        <w:rPr>
          <w:rFonts w:ascii="宋体" w:hAnsi="宋体" w:cs="宋体"/>
          <w:sz w:val="24"/>
        </w:rPr>
      </w:pPr>
      <w:r w:rsidRPr="00481206">
        <w:rPr>
          <w:rFonts w:cs="宋体" w:hint="eastAsia"/>
          <w:kern w:val="0"/>
          <w:sz w:val="24"/>
        </w:rPr>
        <w:t>本课程的目的是为学生将来从事金融领域的实务工作打下必备的理论基础，为进一步学习衍生工具定价和风险管理等高级课程提供必要的知识准备</w:t>
      </w:r>
      <w:r w:rsidRPr="00481206">
        <w:rPr>
          <w:rFonts w:ascii="宋体" w:hAnsi="宋体" w:hint="eastAsia"/>
          <w:sz w:val="24"/>
        </w:rPr>
        <w:t>，对于学生今后更好地适应社会、服务社会，具有重要作用。</w:t>
      </w:r>
    </w:p>
    <w:p w:rsidR="00481206" w:rsidRPr="00481206" w:rsidRDefault="00481206" w:rsidP="00481206">
      <w:pPr>
        <w:pStyle w:val="3"/>
        <w:spacing w:before="0" w:after="0" w:line="360" w:lineRule="auto"/>
        <w:rPr>
          <w:rFonts w:ascii="宋体" w:hAnsi="宋体" w:cs="宋体"/>
          <w:sz w:val="28"/>
          <w:szCs w:val="28"/>
        </w:rPr>
      </w:pPr>
      <w:bookmarkStart w:id="35" w:name="_Toc474271561"/>
      <w:r w:rsidRPr="00481206">
        <w:rPr>
          <w:rFonts w:ascii="宋体" w:hAnsi="宋体" w:cs="宋体" w:hint="eastAsia"/>
          <w:sz w:val="28"/>
          <w:szCs w:val="28"/>
        </w:rPr>
        <w:lastRenderedPageBreak/>
        <w:t>2.3课程的历史与文化传统</w:t>
      </w:r>
      <w:bookmarkEnd w:id="35"/>
    </w:p>
    <w:p w:rsidR="00481206" w:rsidRPr="006C73C5" w:rsidRDefault="00481206" w:rsidP="00481206">
      <w:pPr>
        <w:widowControl/>
        <w:adjustRightInd w:val="0"/>
        <w:snapToGrid w:val="0"/>
        <w:spacing w:line="360" w:lineRule="auto"/>
        <w:ind w:firstLineChars="200" w:firstLine="480"/>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对于如今早已习惯复杂与不断创新的人们而言，当时单调的银行业是无法想象的。但这并不意味着经济大萧条之后，银行家变得没有了竞争性，也失去了赚钱的能力。有很多银行还是会尝试回避当时的银行法规，它们从20世纪70年代就开始摆脱萧条时代定下的协议，20世纪80年代加速挣脱其束缚，直到1999年，大型商业银行当时最想废除的《格拉斯-斯蒂格尔法》才被终结。</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1720年发生在</w:t>
      </w:r>
      <w:hyperlink r:id="rId13" w:tgtFrame="_blank" w:history="1">
        <w:r w:rsidRPr="006C73C5">
          <w:rPr>
            <w:rFonts w:asciiTheme="minorEastAsia" w:hAnsiTheme="minorEastAsia" w:cs="宋体" w:hint="eastAsia"/>
            <w:kern w:val="0"/>
            <w:sz w:val="24"/>
            <w:szCs w:val="24"/>
          </w:rPr>
          <w:t>英国</w:t>
        </w:r>
      </w:hyperlink>
      <w:r w:rsidRPr="006C73C5">
        <w:rPr>
          <w:rFonts w:asciiTheme="minorEastAsia" w:hAnsiTheme="minorEastAsia" w:cs="宋体" w:hint="eastAsia"/>
          <w:kern w:val="0"/>
          <w:sz w:val="24"/>
          <w:szCs w:val="24"/>
        </w:rPr>
        <w:t>伦敦的南海金融危机，是世界经济史上最早的重大金融泡沫事件之一。许多经济史学家总结导致1720年南海泡沫危机的几个阶段如下：</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第一阶段，金融创新促使经济气候发生改变。作为结果，资产价格在很强劲的动力推动下出现上涨。第二阶段，那些海外投机客注意到了这里正在发生的事情，他们立即采取行动，于是资产价格进一步上涨。第三阶段，所有那些有关投资决策需要建立在经济理性主义上的基本原则，都被人们摒弃了，买家全都认为，他们总是能够以更高的价格把手中的东西卖出去。最后一个，也是不可避免的阶段，信贷紧缩和投机行为瞬间的终结最终导致了一场崩溃。</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虽然南海金融危机过去已经300年了，但依旧适用于如今的金融市场。因为金融市场处于永无止境的创新之中，总会有新的赚钱之道出现，而这些过度追求利润的方式也正是历次危机的源头。</w:t>
      </w:r>
    </w:p>
    <w:p w:rsidR="00481206" w:rsidRPr="006C73C5" w:rsidRDefault="00481206" w:rsidP="00481206">
      <w:pPr>
        <w:widowControl/>
        <w:adjustRightInd w:val="0"/>
        <w:snapToGrid w:val="0"/>
        <w:spacing w:line="360" w:lineRule="auto"/>
        <w:jc w:val="left"/>
        <w:rPr>
          <w:rFonts w:asciiTheme="minorEastAsia" w:hAnsiTheme="minorEastAsia" w:cs="宋体"/>
          <w:b/>
          <w:kern w:val="0"/>
          <w:sz w:val="24"/>
          <w:szCs w:val="24"/>
        </w:rPr>
      </w:pPr>
      <w:r w:rsidRPr="00481206">
        <w:rPr>
          <w:rFonts w:asciiTheme="minorEastAsia" w:hAnsiTheme="minorEastAsia" w:cs="宋体" w:hint="eastAsia"/>
          <w:kern w:val="0"/>
          <w:sz w:val="24"/>
          <w:szCs w:val="24"/>
        </w:rPr>
        <w:t xml:space="preserve">　　一、</w:t>
      </w:r>
      <w:r w:rsidRPr="00481206">
        <w:rPr>
          <w:rFonts w:asciiTheme="minorEastAsia" w:hAnsiTheme="minorEastAsia" w:cs="宋体" w:hint="eastAsia"/>
          <w:b/>
          <w:kern w:val="0"/>
          <w:sz w:val="24"/>
          <w:szCs w:val="24"/>
        </w:rPr>
        <w:t>“单调”时代</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美联储前主席艾伦·</w:t>
      </w:r>
      <w:hyperlink r:id="rId14" w:tgtFrame="_blank" w:history="1">
        <w:r w:rsidRPr="006C73C5">
          <w:rPr>
            <w:rFonts w:asciiTheme="minorEastAsia" w:hAnsiTheme="minorEastAsia" w:cs="宋体" w:hint="eastAsia"/>
            <w:kern w:val="0"/>
            <w:sz w:val="24"/>
            <w:szCs w:val="24"/>
          </w:rPr>
          <w:t>格林斯潘</w:t>
        </w:r>
      </w:hyperlink>
      <w:r w:rsidRPr="006C73C5">
        <w:rPr>
          <w:rFonts w:asciiTheme="minorEastAsia" w:hAnsiTheme="minorEastAsia" w:cs="宋体" w:hint="eastAsia"/>
          <w:kern w:val="0"/>
          <w:sz w:val="24"/>
          <w:szCs w:val="24"/>
        </w:rPr>
        <w:t>在</w:t>
      </w:r>
      <w:hyperlink r:id="rId15" w:tgtFrame="_blank" w:history="1">
        <w:r w:rsidRPr="006C73C5">
          <w:rPr>
            <w:rFonts w:asciiTheme="minorEastAsia" w:hAnsiTheme="minorEastAsia" w:cs="宋体" w:hint="eastAsia"/>
            <w:kern w:val="0"/>
            <w:sz w:val="24"/>
            <w:szCs w:val="24"/>
          </w:rPr>
          <w:t>互联网</w:t>
        </w:r>
      </w:hyperlink>
      <w:r w:rsidRPr="006C73C5">
        <w:rPr>
          <w:rFonts w:asciiTheme="minorEastAsia" w:hAnsiTheme="minorEastAsia" w:cs="宋体" w:hint="eastAsia"/>
          <w:kern w:val="0"/>
          <w:sz w:val="24"/>
          <w:szCs w:val="24"/>
        </w:rPr>
        <w:t>泡沫破灭时在国会陈词中表示：“20世纪90年代股市资本的迅速发展导致了贪婪的迅速增长。我们那些金融信息的历史监护人此时已被压制住了。”</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殊不知，在贪婪来临之前， </w:t>
      </w:r>
      <w:hyperlink r:id="rId16" w:tgtFrame="_blank" w:history="1">
        <w:r w:rsidRPr="006C73C5">
          <w:rPr>
            <w:rFonts w:asciiTheme="minorEastAsia" w:hAnsiTheme="minorEastAsia" w:cs="宋体" w:hint="eastAsia"/>
            <w:kern w:val="0"/>
            <w:sz w:val="24"/>
            <w:szCs w:val="24"/>
          </w:rPr>
          <w:t>美国</w:t>
        </w:r>
      </w:hyperlink>
      <w:r w:rsidRPr="006C73C5">
        <w:rPr>
          <w:rFonts w:asciiTheme="minorEastAsia" w:hAnsiTheme="minorEastAsia" w:cs="宋体" w:hint="eastAsia"/>
          <w:kern w:val="0"/>
          <w:sz w:val="24"/>
          <w:szCs w:val="24"/>
        </w:rPr>
        <w:t>银行业一直比较“单调”。在整个战后时期，金融部门仅占美国国内生产总值的3%，支付给员工的薪水也只比私营部门整体多一些而已。金融大体上就像萧条年代银行法规制定者们所期望的那样安全而单调，商业银行也是保守的、低风险的行业。</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非金融企业的金融需求也相对简单，它们通过银行贷款筹集短期资金，通过发行债券筹集长期资金，通过发行股票筹集资本。商业银行提供并且持有贷款，投资银行负责安排债券与股票，让投资者赚取企业盈利的一小部分。由于投资银行并不直接提供贷款，也没有掌控企业债务或股本的大部分，自身也没有交易大量证券，所以不需要大规模的</w:t>
      </w:r>
      <w:r w:rsidRPr="006C73C5">
        <w:rPr>
          <w:rFonts w:asciiTheme="minorEastAsia" w:hAnsiTheme="minorEastAsia" w:cs="宋体" w:hint="eastAsia"/>
          <w:kern w:val="0"/>
          <w:sz w:val="24"/>
          <w:szCs w:val="24"/>
        </w:rPr>
        <w:lastRenderedPageBreak/>
        <w:t>投资银行。总体而言，1946年至1981年，所有证券经纪交易商的金融资产总额一直不到国内生产总值的2%。</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对于如今早已习惯复杂与不断创新的人们而言，当时单调的银行业是无法想象的。但这并不意味着经济大萧条之后，银行家变得没有了竞争性，也失去了赚钱的能力。有很多银行还是会尝试回避当时的银行法规，它们从20世纪70年代就开始摆脱萧条时代定下的协议，20世纪80年代加速挣脱其束缚，直到1999年，大型商业银行当时最想废除的《格拉斯-斯蒂格尔法》才被终结。</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尽管银行主管们希望大规模地放松管理，但是金融部门没有商定一致计划去摆脱管理束缚。相反，正如很多历史现象一样，一系列因素的综合作用造成了这个变化：外因事件，比如20世纪70年代的高通货膨胀；金融学科的出现；卡特政府开启了大范围的放松管理趋势，到里根政府则转变为全面的反对政府管制。最终结果是，失去平衡的金融体系仍然享受着联邦政府的支持，就这样，金融体系没有了必要的政府管理与监督，衍生品的新业务完全不受《格拉斯-斯蒂格尔法》的约束，也就无法防止过度的风险活动。</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固定的股票买卖佣金是最早失效的管制工具之一。正如美林的首席执行官大卫·科曼斯基所回忆的那样：“当时没有折扣，也没有讨价还价。固定价格意味着整个华尔街都是一样的价格。即使我们想给你打折扣，我们也没法打折，这真是太棒了。”多数华尔街公司都乐意从中获益，但并不是每个人都这么看待整件事。</w:t>
      </w:r>
    </w:p>
    <w:p w:rsidR="00481206" w:rsidRPr="006C73C5" w:rsidRDefault="00481206" w:rsidP="00481206">
      <w:pPr>
        <w:widowControl/>
        <w:adjustRightInd w:val="0"/>
        <w:snapToGrid w:val="0"/>
        <w:spacing w:line="360" w:lineRule="auto"/>
        <w:jc w:val="left"/>
        <w:rPr>
          <w:rFonts w:asciiTheme="minorEastAsia" w:hAnsiTheme="minorEastAsia" w:cs="宋体"/>
          <w:b/>
          <w:kern w:val="0"/>
          <w:sz w:val="24"/>
          <w:szCs w:val="24"/>
        </w:rPr>
      </w:pPr>
      <w:r w:rsidRPr="00481206">
        <w:rPr>
          <w:rFonts w:asciiTheme="minorEastAsia" w:hAnsiTheme="minorEastAsia" w:cs="宋体" w:hint="eastAsia"/>
          <w:kern w:val="0"/>
          <w:sz w:val="24"/>
          <w:szCs w:val="24"/>
        </w:rPr>
        <w:t xml:space="preserve">　　</w:t>
      </w:r>
      <w:r w:rsidRPr="00481206">
        <w:rPr>
          <w:rFonts w:asciiTheme="minorEastAsia" w:hAnsiTheme="minorEastAsia" w:cs="宋体" w:hint="eastAsia"/>
          <w:b/>
          <w:kern w:val="0"/>
          <w:sz w:val="24"/>
          <w:szCs w:val="24"/>
        </w:rPr>
        <w:t>二、创新的“冲动”</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随着美国人越来越富裕，积累了很多存款，大型企业也为员工设立了退休金计划，互惠基金与退休基金等大型的机构投资者变得越来越重要，要求为其庞大的需求降低价格。美林集团20世纪70年代的首席执行官唐纳德·里甘也同样希望能够结束固定佣金，那样的话美林作为当时华尔街最大的经纪公司，将会从竞争中收获最多，里甘自己也已经想象到了公司发展成为大型的、多元化的金融服务公司。当时所罗门兄弟公司的首席执行官威廉·所罗门也同样支持结束固定佣金。</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20世纪70年代初期，人们要求证券交易委员会出面解决该争端，于是委员会命令纽约证券交易所消除固定佣金。1975年5月1日纽约证券交易所执行了该命令，这个行为在整个证券业引起了连锁反应。</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经纪佣金的竞争意味着机构投资者能够以更便宜的价格完成</w:t>
      </w:r>
      <w:hyperlink r:id="rId17" w:tgtFrame="_blank" w:history="1">
        <w:r w:rsidRPr="006C73C5">
          <w:rPr>
            <w:rFonts w:asciiTheme="minorEastAsia" w:hAnsiTheme="minorEastAsia" w:cs="宋体" w:hint="eastAsia"/>
            <w:kern w:val="0"/>
            <w:sz w:val="24"/>
            <w:szCs w:val="24"/>
          </w:rPr>
          <w:t>大宗交易</w:t>
        </w:r>
      </w:hyperlink>
      <w:r w:rsidRPr="006C73C5">
        <w:rPr>
          <w:rFonts w:asciiTheme="minorEastAsia" w:hAnsiTheme="minorEastAsia" w:cs="宋体" w:hint="eastAsia"/>
          <w:kern w:val="0"/>
          <w:sz w:val="24"/>
          <w:szCs w:val="24"/>
        </w:rPr>
        <w:t>，由此交易量也会大大增长。几十年来，证券经纪人享受着安逸的、卡特尔式的利润，而那时却有了</w:t>
      </w:r>
      <w:r w:rsidRPr="006C73C5">
        <w:rPr>
          <w:rFonts w:asciiTheme="minorEastAsia" w:hAnsiTheme="minorEastAsia" w:cs="宋体" w:hint="eastAsia"/>
          <w:kern w:val="0"/>
          <w:sz w:val="24"/>
          <w:szCs w:val="24"/>
        </w:rPr>
        <w:lastRenderedPageBreak/>
        <w:t>更广阔的市场，竞争也变得更为激烈。其中一项竞争来自经纪公司，比如嘉信理财，该公司致力于为个人提供优惠服务。因此，在华尔街流行了数年的小型公司开始逐渐消失，由资本雄厚的公司代替，这些公司努力开辟高利润的业务领域，寻求新的利润来源。</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传统的商业银行与储蓄银行业同样经历了变化，这些变化产生了深远的意义。其中一个诱发因素是20世纪70年代的高通货膨胀。如果通货膨胀率是6%，那么就没有人愿意以3%的利率提供贷款，因此，高通货膨胀意味着更高的利率。因为传统储蓄账户的利率被条款Q限定，所以资金就从这些账户外流，转而投入到高收益的短期国库券，以及企业与政府发行的其他形式的短期借款中去。</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货币市场基金创建于1971年，从1976年的30亿美元资产发展到1982年的2300亿美元资产。与此同时，银行业在失去廉价的资金来源，利率上升意味着银行在它们所作出的抵押贷款上亏损了，因为这些抵押贷款的利率都是固定的。20世纪70年代末期，通货膨胀率已经飙升到了两位数，而70年代初期所定下的抵押贷款仍然只是偿还7%的利率，这意味着银行收回的利息甚至不够抵消通货膨胀。</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这些经济变化主要影响了储蓄贷款协会，因为储蓄贷款协会比银行揽更多的抵押贷款。但是，该协会及其游说组织美国储蓄机构联盟在当时两党内都十分有政治影响力，最终迫使国会通过了《1980年存款机构放松管制和货币控制法案》，该法案逐步废除了条款Q，让银行能够提供更高的利率以争夺存款，这就消除了“单调的银行业”经营模式。</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于是，银行无法再依赖利率被人为压低的资金来源，必须从新的业务中寻求新的收入来源。该法案允许储蓄贷款协会从住房抵押贷款业务扩张到高风险的贷款与投资业务，这一错误造成了后来的储蓄贷款危机。该法案还不顾州</w:t>
      </w:r>
      <w:hyperlink r:id="rId18" w:tgtFrame="_blank" w:history="1">
        <w:r w:rsidRPr="006C73C5">
          <w:rPr>
            <w:rFonts w:asciiTheme="minorEastAsia" w:hAnsiTheme="minorEastAsia" w:cs="宋体" w:hint="eastAsia"/>
            <w:kern w:val="0"/>
            <w:sz w:val="24"/>
            <w:szCs w:val="24"/>
          </w:rPr>
          <w:t>法律</w:t>
        </w:r>
      </w:hyperlink>
      <w:r w:rsidRPr="006C73C5">
        <w:rPr>
          <w:rFonts w:asciiTheme="minorEastAsia" w:hAnsiTheme="minorEastAsia" w:cs="宋体" w:hint="eastAsia"/>
          <w:kern w:val="0"/>
          <w:sz w:val="24"/>
          <w:szCs w:val="24"/>
        </w:rPr>
        <w:t>关于限定首次按揭贷款利息的规定，这就意味着，只要市场能够承受，银行就可以收取任何利率。</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到了20世纪80年代，面对宏观经济的变化以及放松管制的浪潮，投资银行与商业银行的传统经营模式逐渐消失。正如历史学家查尔斯·盖斯特对华尔街的描述：“华尔街已经到了转折点。”尽管没有拟定清晰的方案或思想体系，没有确定金融服务业该如何发展，也没有确定金融业与政府之间的关系。但是，一切都在改变中。</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在当时，美国一流大学的学者们正在酝酿一场运动，这促使金融部门出现了转变。这场运动是金融学的学科化，由一批经济学家发起，比如保罗·</w:t>
      </w:r>
      <w:hyperlink r:id="rId19" w:tgtFrame="_blank" w:history="1">
        <w:r w:rsidRPr="006C73C5">
          <w:rPr>
            <w:rFonts w:asciiTheme="minorEastAsia" w:hAnsiTheme="minorEastAsia" w:cs="宋体" w:hint="eastAsia"/>
            <w:kern w:val="0"/>
            <w:sz w:val="24"/>
            <w:szCs w:val="24"/>
          </w:rPr>
          <w:t>萨缪尔森</w:t>
        </w:r>
      </w:hyperlink>
      <w:r w:rsidRPr="006C73C5">
        <w:rPr>
          <w:rFonts w:asciiTheme="minorEastAsia" w:hAnsiTheme="minorEastAsia" w:cs="宋体" w:hint="eastAsia"/>
          <w:kern w:val="0"/>
          <w:sz w:val="24"/>
          <w:szCs w:val="24"/>
        </w:rPr>
        <w:t>、莫顿·</w:t>
      </w:r>
      <w:hyperlink r:id="rId20" w:tgtFrame="_blank" w:history="1">
        <w:r w:rsidRPr="006C73C5">
          <w:rPr>
            <w:rFonts w:asciiTheme="minorEastAsia" w:hAnsiTheme="minorEastAsia" w:cs="宋体" w:hint="eastAsia"/>
            <w:kern w:val="0"/>
            <w:sz w:val="24"/>
            <w:szCs w:val="24"/>
          </w:rPr>
          <w:t>米勒</w:t>
        </w:r>
      </w:hyperlink>
      <w:r w:rsidRPr="006C73C5">
        <w:rPr>
          <w:rFonts w:asciiTheme="minorEastAsia" w:hAnsiTheme="minorEastAsia" w:cs="宋体" w:hint="eastAsia"/>
          <w:kern w:val="0"/>
          <w:sz w:val="24"/>
          <w:szCs w:val="24"/>
        </w:rPr>
        <w:t>、罗伯特·莫顿等曾获得过诺贝尔经济学奖。这些学者致力于运用复杂的数学工具解决一</w:t>
      </w:r>
      <w:r w:rsidRPr="006C73C5">
        <w:rPr>
          <w:rFonts w:asciiTheme="minorEastAsia" w:hAnsiTheme="minorEastAsia" w:cs="宋体" w:hint="eastAsia"/>
          <w:kern w:val="0"/>
          <w:sz w:val="24"/>
          <w:szCs w:val="24"/>
        </w:rPr>
        <w:lastRenderedPageBreak/>
        <w:t>些问题，比如，确定公司的最有资本结构（债务与股本之间的比率）、金融资产定价以及分散避免风险。</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金融学对全球范围内</w:t>
      </w:r>
      <w:hyperlink r:id="rId21" w:tgtFrame="_blank" w:history="1">
        <w:r w:rsidRPr="006C73C5">
          <w:rPr>
            <w:rFonts w:asciiTheme="minorEastAsia" w:hAnsiTheme="minorEastAsia" w:cs="宋体" w:hint="eastAsia"/>
            <w:kern w:val="0"/>
            <w:sz w:val="24"/>
            <w:szCs w:val="24"/>
          </w:rPr>
          <w:t>金融行业</w:t>
        </w:r>
      </w:hyperlink>
      <w:r w:rsidRPr="006C73C5">
        <w:rPr>
          <w:rFonts w:asciiTheme="minorEastAsia" w:hAnsiTheme="minorEastAsia" w:cs="宋体" w:hint="eastAsia"/>
          <w:kern w:val="0"/>
          <w:sz w:val="24"/>
          <w:szCs w:val="24"/>
        </w:rPr>
        <w:t>的运作方式起了巨大的影响。举例来讲，对于资本结构的研究促成了企业负债率的显著提高（债务发挥杠杆作用，从而增加伴随着风险的预期回报）。研究机构对企业融资策略的建议也帮助金融业扩大了市场。投资银行家迅速抓住了这个有利可图的机会。同样，对金融市场的定量研究也帮银行家找到了全新的赚钱方式。</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金融资产相对价值的新计算方法使得套利交易成为可能，交易上从中找出理论上不应存在的小额价格差异，进而市场会让这些差异消失，交易商几乎是稳赚钱的。布莱克·斯科尔斯模型提供了方便的计算金融衍生工具的公式，引起了金融衍生工具的革命。于是，金融学成为一个重要的工具，为华尔街创建了新市场以及全新的巨大的收入来源，但更为重要的可能是它所创建的思想体系。</w:t>
      </w:r>
    </w:p>
    <w:p w:rsidR="00481206" w:rsidRPr="006C73C5" w:rsidRDefault="00481206" w:rsidP="00481206">
      <w:pPr>
        <w:widowControl/>
        <w:adjustRightInd w:val="0"/>
        <w:snapToGrid w:val="0"/>
        <w:spacing w:line="360" w:lineRule="auto"/>
        <w:jc w:val="left"/>
        <w:rPr>
          <w:rFonts w:asciiTheme="minorEastAsia" w:hAnsiTheme="minorEastAsia" w:cs="宋体"/>
          <w:b/>
          <w:kern w:val="0"/>
          <w:sz w:val="24"/>
          <w:szCs w:val="24"/>
        </w:rPr>
      </w:pPr>
      <w:r w:rsidRPr="00481206">
        <w:rPr>
          <w:rFonts w:asciiTheme="minorEastAsia" w:hAnsiTheme="minorEastAsia" w:cs="宋体" w:hint="eastAsia"/>
          <w:kern w:val="0"/>
          <w:sz w:val="24"/>
          <w:szCs w:val="24"/>
        </w:rPr>
        <w:t xml:space="preserve">　　三、</w:t>
      </w:r>
      <w:r w:rsidRPr="00481206">
        <w:rPr>
          <w:rFonts w:asciiTheme="minorEastAsia" w:hAnsiTheme="minorEastAsia" w:cs="宋体" w:hint="eastAsia"/>
          <w:b/>
          <w:kern w:val="0"/>
          <w:sz w:val="24"/>
          <w:szCs w:val="24"/>
        </w:rPr>
        <w:t>下金蛋的鹅</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20世纪90年代，银行金融部门开发了一些金融“创新”：结构性融资、信用违约掉期与次级抵押贷款，这些所谓的创新带来了21世纪初房产与金融的繁荣。对于这些新的赚钱机器，多数金融监管机构都是睁一只眼闭一只眼。</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结构性金融产品主要出售给复杂的投资者，比如对冲基金以及大学捐赠基金，因此属于证券交易委员会管辖，其监管力度也十分有限。至于信用违约掉期，开始并未受到任何监管，后来由《商品</w:t>
      </w:r>
      <w:hyperlink r:id="rId22" w:tgtFrame="_blank" w:history="1">
        <w:r w:rsidRPr="006C73C5">
          <w:rPr>
            <w:rFonts w:asciiTheme="minorEastAsia" w:hAnsiTheme="minorEastAsia" w:cs="宋体" w:hint="eastAsia"/>
            <w:kern w:val="0"/>
            <w:sz w:val="24"/>
            <w:szCs w:val="24"/>
          </w:rPr>
          <w:t>期货</w:t>
        </w:r>
      </w:hyperlink>
      <w:r w:rsidRPr="006C73C5">
        <w:rPr>
          <w:rFonts w:asciiTheme="minorEastAsia" w:hAnsiTheme="minorEastAsia" w:cs="宋体" w:hint="eastAsia"/>
          <w:kern w:val="0"/>
          <w:sz w:val="24"/>
          <w:szCs w:val="24"/>
        </w:rPr>
        <w:t>交易现代化法》监督；而次级抵押贷款则得到了美联储的默许。这些都是金融部门想要的，而政府也很乐意帮忙。</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传统上，投资者投资的金融资产都与实体经济有着直接联系：股票、企业债券或政府债券、货币、</w:t>
      </w:r>
      <w:hyperlink r:id="rId23" w:tgtFrame="_blank" w:history="1">
        <w:r w:rsidRPr="006C73C5">
          <w:rPr>
            <w:rFonts w:asciiTheme="minorEastAsia" w:hAnsiTheme="minorEastAsia" w:cs="宋体" w:hint="eastAsia"/>
            <w:kern w:val="0"/>
            <w:sz w:val="24"/>
            <w:szCs w:val="24"/>
          </w:rPr>
          <w:t>黄金</w:t>
        </w:r>
      </w:hyperlink>
      <w:r w:rsidRPr="006C73C5">
        <w:rPr>
          <w:rFonts w:asciiTheme="minorEastAsia" w:hAnsiTheme="minorEastAsia" w:cs="宋体" w:hint="eastAsia"/>
          <w:kern w:val="0"/>
          <w:sz w:val="24"/>
          <w:szCs w:val="24"/>
        </w:rPr>
        <w:t>等。而银行却开发出了可具备任何特性的结构性产品（比如到期日、投资回报、风险等），这时的投资者可以支付给银行100美元，一年后根据货币汇率与利率来计算应得的数额。投资者还可以购买实际金融资产，比如抵押贷款、学生贷款、</w:t>
      </w:r>
      <w:hyperlink r:id="rId24" w:tgtFrame="_blank" w:history="1">
        <w:r w:rsidRPr="006C73C5">
          <w:rPr>
            <w:rFonts w:asciiTheme="minorEastAsia" w:hAnsiTheme="minorEastAsia" w:cs="宋体" w:hint="eastAsia"/>
            <w:kern w:val="0"/>
            <w:sz w:val="24"/>
            <w:szCs w:val="24"/>
          </w:rPr>
          <w:t>信用卡</w:t>
        </w:r>
      </w:hyperlink>
      <w:r w:rsidRPr="006C73C5">
        <w:rPr>
          <w:rFonts w:asciiTheme="minorEastAsia" w:hAnsiTheme="minorEastAsia" w:cs="宋体" w:hint="eastAsia"/>
          <w:kern w:val="0"/>
          <w:sz w:val="24"/>
          <w:szCs w:val="24"/>
        </w:rPr>
        <w:t>应收款等，将它们结合起来后再以多种方式拆分，形成新的“资产抵押”证券。或者，它们还可以将实际资产与衍生产品结合起来形成更为复杂的组合。</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原则上，结构性融资有两大好处：一方面，可以开发新的可投资产品，以前投资局限于公开交易的股票和债券；而如今投资者有了更多地选择，并且每一项投资都有其独特之处，例如，可以为客户量身定做证券，使他们的资产与负债同步。另一方面，结构性融资开发了新资产，对客户更有吸引力，也就意味着企业更容易筹集资金。比如，投</w:t>
      </w:r>
      <w:r w:rsidRPr="006C73C5">
        <w:rPr>
          <w:rFonts w:asciiTheme="minorEastAsia" w:hAnsiTheme="minorEastAsia" w:cs="宋体" w:hint="eastAsia"/>
          <w:kern w:val="0"/>
          <w:sz w:val="24"/>
          <w:szCs w:val="24"/>
        </w:rPr>
        <w:lastRenderedPageBreak/>
        <w:t>资者如果要对洛杉矶至上海的航线进行投资，他们会要求高利率，但如果投资该航线附带今后以低价买</w:t>
      </w:r>
      <w:hyperlink r:id="rId25" w:tgtFrame="_blank" w:history="1">
        <w:r w:rsidRPr="006C73C5">
          <w:rPr>
            <w:rFonts w:asciiTheme="minorEastAsia" w:hAnsiTheme="minorEastAsia" w:cs="宋体" w:hint="eastAsia"/>
            <w:kern w:val="0"/>
            <w:sz w:val="24"/>
            <w:szCs w:val="24"/>
          </w:rPr>
          <w:t>石油</w:t>
        </w:r>
      </w:hyperlink>
      <w:r w:rsidRPr="006C73C5">
        <w:rPr>
          <w:rFonts w:asciiTheme="minorEastAsia" w:hAnsiTheme="minorEastAsia" w:cs="宋体" w:hint="eastAsia"/>
          <w:kern w:val="0"/>
          <w:sz w:val="24"/>
          <w:szCs w:val="24"/>
        </w:rPr>
        <w:t>的认购权，那么投资者便会愿意接受较低的利率。</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理论上，结构性融资会给每个人带来好处，更为重要的是，它必定会为银行增加收入，毕竟是银行安排了这些复杂的交易。在商界，大多数产品与服务的发展轨迹是，利润率会随着竞争的加剧下降，比如，如果银行提供普遍贷款给信用好的公司，那么银行赚取的利润会很少，因为还有很多其他的银行愿意提供贷款。银行需要开发尚未商品化的新产品才能获得高利润率，而结构性产品正好是最好的解决方案。</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20世纪90年代初期，除了纯衍生品（比如利率掉期交易、货币掉期、信用违约掉期）以外，资产抵押结构性产品也是华尔街的主要收入来源。摩根士丹利最为重要的资产机构就是结构性产品：特殊目的实体（SPV，一种仅存在于纸面上的新型公司）在其中购买一组现有证券（比如由</w:t>
      </w:r>
      <w:hyperlink r:id="rId26" w:tgtFrame="_blank" w:history="1">
        <w:r w:rsidRPr="006C73C5">
          <w:rPr>
            <w:rFonts w:asciiTheme="minorEastAsia" w:hAnsiTheme="minorEastAsia" w:cs="宋体" w:hint="eastAsia"/>
            <w:kern w:val="0"/>
            <w:sz w:val="24"/>
            <w:szCs w:val="24"/>
          </w:rPr>
          <w:t>菲律宾</w:t>
        </w:r>
      </w:hyperlink>
      <w:r w:rsidRPr="006C73C5">
        <w:rPr>
          <w:rFonts w:asciiTheme="minorEastAsia" w:hAnsiTheme="minorEastAsia" w:cs="宋体" w:hint="eastAsia"/>
          <w:kern w:val="0"/>
          <w:sz w:val="24"/>
          <w:szCs w:val="24"/>
        </w:rPr>
        <w:t>国家电力公司发行的债券），然后再将量身定做的证券出售给投资者。</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于是，资产抵押证券产品成为了华尔街的新赚钱机器，包括住房抵押贷款支持证券以及担保债务凭证。20世纪60年代末由美国政府国民抵押贷款协会开发的住房抵押支持证券是“转售证券”，即将按揭集中起来，再将风险细分，每一个投资者承担相同的风险，获取相同的收益。</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然而，个人住房抵押贷款支持证券却有着不同的份额或分类，风险等级不同，利率高低也不同。“高级”份额对抵押贷款有着优先索赔权且风险最小，信用评级机构通常将它们评为3A等级，这与美国政府债券同一等级。而“低级”份额风险较大，因此投资者所得的利率也较高。</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当时华尔街大银行最喜欢的组合是将低级但高收益的住房抵押贷款支持证券组成担保债务凭证，这会形成回报高、风险相对较低的新证券，3A等级率可以达到60%至80%。尽管住房抵押贷款支持证券等级较低，但是违约的可能性很小。</w:t>
      </w:r>
    </w:p>
    <w:p w:rsidR="00481206" w:rsidRPr="006C73C5" w:rsidRDefault="00481206" w:rsidP="00481206">
      <w:pPr>
        <w:widowControl/>
        <w:adjustRightInd w:val="0"/>
        <w:snapToGrid w:val="0"/>
        <w:spacing w:line="360" w:lineRule="auto"/>
        <w:jc w:val="left"/>
        <w:rPr>
          <w:rFonts w:asciiTheme="minorEastAsia" w:hAnsiTheme="minorEastAsia" w:cs="宋体"/>
          <w:b/>
          <w:kern w:val="0"/>
          <w:sz w:val="24"/>
          <w:szCs w:val="24"/>
        </w:rPr>
      </w:pPr>
      <w:r w:rsidRPr="00481206">
        <w:rPr>
          <w:rFonts w:asciiTheme="minorEastAsia" w:hAnsiTheme="minorEastAsia" w:cs="宋体" w:hint="eastAsia"/>
          <w:kern w:val="0"/>
          <w:sz w:val="24"/>
          <w:szCs w:val="24"/>
        </w:rPr>
        <w:t xml:space="preserve">　</w:t>
      </w:r>
      <w:r w:rsidRPr="00481206">
        <w:rPr>
          <w:rFonts w:asciiTheme="minorEastAsia" w:hAnsiTheme="minorEastAsia" w:cs="宋体" w:hint="eastAsia"/>
          <w:b/>
          <w:kern w:val="0"/>
          <w:sz w:val="24"/>
          <w:szCs w:val="24"/>
        </w:rPr>
        <w:t xml:space="preserve">　四、次贷的危机纪录</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整个20世纪90年代末期，华尔街沉迷于住房抵押贷款支持证券与担保债务凭证。随着房价的飙升，大家更容易相信住房抵押贷款支持证券与担保债务凭证几乎没有风险。因为只要房价继续上涨，借款人总是能够将房产进行再次抵押贷款。即使借款人违约，只要价格持续飙升，投资者仍然能够拥有值钱的抵押物。</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lastRenderedPageBreak/>
        <w:t xml:space="preserve">　　但是，由于借款人，尤其是次级抵押借款人个体而言风险却很大。再加上3A等级的标签，投资者很乐意购买，他们并不关心这些证券到底是怎么回事。最终，美国的房屋所有者以及房屋购买者成了庞大的潜在借款人。</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随着房价一再攀升以及大家购买越来越大的房子，或将房产再抵押来获得现金（用于翻新房屋或者购买其他家具），这一潜在借款人群能够被一次又一次地发掘利用。这些抵押贷款与房屋净值贷款正是华尔街开发新证券的来源，他们将这些贷款组成新的债务抵押债券给投资者，而自己则能够从中大赚一笔。</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与住房抵押贷款支持证券以及担保债务凭证相比，信用违约掉期相对比较简单，但他们通过其特殊作用促进了金融繁荣，只不过这种繁荣建立在开发、包装、出售债务的基础上，因此一切就建立在借款人将会偿还债务或其他人将会偿还债务的假定之上。信用违约掉期可以让抵押贷款或住房抵押贷款支持证券集中起来，从表面上消除违约的风险。</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最典型的案例在于，1997年摩根大通率先使用违约掉期，卸除了资产负债表上的贷款违约风险。在这场交易中，摩根大通的衍生产品团队创建了一个新的特殊目的的机构为银行提供</w:t>
      </w:r>
      <w:hyperlink r:id="rId27" w:tgtFrame="_blank" w:history="1">
        <w:r w:rsidRPr="006C73C5">
          <w:rPr>
            <w:rFonts w:asciiTheme="minorEastAsia" w:hAnsiTheme="minorEastAsia" w:cs="宋体" w:hint="eastAsia"/>
            <w:kern w:val="0"/>
            <w:sz w:val="24"/>
            <w:szCs w:val="24"/>
          </w:rPr>
          <w:t>保险</w:t>
        </w:r>
      </w:hyperlink>
      <w:r w:rsidRPr="006C73C5">
        <w:rPr>
          <w:rFonts w:asciiTheme="minorEastAsia" w:hAnsiTheme="minorEastAsia" w:cs="宋体" w:hint="eastAsia"/>
          <w:kern w:val="0"/>
          <w:sz w:val="24"/>
          <w:szCs w:val="24"/>
        </w:rPr>
        <w:t>，摩根大通支付保险费给特殊目的机构，然后特殊目的机构发行保费抵押债券给投资者。</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这种做法对银行有两大好处。一方面，由于银行将贷款的违约风险转移到了特殊目的机构，因此银行就不必为贷款保持资本储备，从而可以提供更多贷款，得到更多利润。另一方面，摩根大通凭空开发了一个新的担保债务凭证，没有依靠任何贷款或者住房抵押贷款支持证券，而通常这些都是必须的。这种人工合成的担保债务凭证，如果贷款人偿还贷款，那么摩根大通就会持续支付保险费给特殊目的机构，这样投资者就有钱赚；但如果借款人违约，那么特殊目的机构就必须支付一大笔保险赔偿给摩根大通，这样一来投资者就会亏损。</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到了21世纪初，投资者以及华尔街银行对于次级抵押贷款的需求过大，供不应求，信用违约掉期填补了这个空白。同时，信用违约掉期也促成了另一种华尔街经营模式。当经济发展稳定而房价不断上涨的情况下，高级住房抵押贷款支持证券与担保债务凭证的违约风险似乎不大，出售这些证券的信用违约掉期简直就是意外之财。</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不过，对冲基金不会错过这个好机会。20世纪90年代末，美国国际集团作为全球最大的保险公司，就有一个十分愿意为3A等级结构性证券提供保险的金融产品团队，他们为摩根大通公司的“超高级”担保债务凭证提供保险，每年收取2个基点的保费，</w:t>
      </w:r>
      <w:r w:rsidRPr="006C73C5">
        <w:rPr>
          <w:rFonts w:asciiTheme="minorEastAsia" w:hAnsiTheme="minorEastAsia" w:cs="宋体" w:hint="eastAsia"/>
          <w:kern w:val="0"/>
          <w:sz w:val="24"/>
          <w:szCs w:val="24"/>
        </w:rPr>
        <w:lastRenderedPageBreak/>
        <w:t>也就是说，美国国际集团每年收取2万美元的保费，为价值1亿美元的贷款提供保险，这简直就是意外之财。</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既然贷款可以转卖给华尔街，那么抵押贷款便成为费用拉动型业务，而数量则是利润的关键。据统计，2005年用来购买房屋的次级抵押贷款达到100万项，而用于房产再抵押的次级抵押贷款达到120万项，合计起来，比1993年增长了20倍。</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1996年美联储大力放松管制，允许银行子公司25%的收入来自证券交易，而以前的规定是10%。同年，美联储对规章制度进行了全面革新，更方便银行拓展虚拟业务。国会也改变了关于银行拓展新业务的规定，银行不必再向美联储征得同意。1999年国会通过了《金融服务现代化法》，该法案授权金融控股公司从事任何金融业务，包括银行业务、保险业务以及证券业务，这就促成了“太大而不能倒”的超级银行数量大幅增加，到了2001年，数量达到20家之多。</w:t>
      </w:r>
    </w:p>
    <w:p w:rsidR="00481206" w:rsidRPr="006C73C5" w:rsidRDefault="00481206" w:rsidP="00481206">
      <w:pPr>
        <w:widowControl/>
        <w:adjustRightInd w:val="0"/>
        <w:snapToGrid w:val="0"/>
        <w:spacing w:line="360" w:lineRule="auto"/>
        <w:jc w:val="left"/>
        <w:rPr>
          <w:rFonts w:asciiTheme="minorEastAsia" w:hAnsiTheme="minorEastAsia" w:cs="宋体"/>
          <w:kern w:val="0"/>
          <w:sz w:val="24"/>
          <w:szCs w:val="24"/>
        </w:rPr>
      </w:pPr>
      <w:r w:rsidRPr="006C73C5">
        <w:rPr>
          <w:rFonts w:asciiTheme="minorEastAsia" w:hAnsiTheme="minorEastAsia" w:cs="宋体" w:hint="eastAsia"/>
          <w:kern w:val="0"/>
          <w:sz w:val="24"/>
          <w:szCs w:val="24"/>
        </w:rPr>
        <w:t xml:space="preserve">　　事实上，很多借款人根本无法偿还贷款，但华尔街根本不管这些，随着业务的蓬勃发展，大型银行都在争先恐后地抢购次级抵押贷款公司。前25家次级抵押贷款公司都分别被国民城市银行、美林、华盛顿互惠银行、汇丰银行、雷曼兄弟公司、摩根大通、花旗、贝尔斯登等收购。低息资金、激进的风险活动以及结构性融资最终引发了房产泡沫并直接导致“次贷危机”。</w:t>
      </w:r>
    </w:p>
    <w:p w:rsidR="00481206" w:rsidRPr="00481206" w:rsidRDefault="00481206" w:rsidP="00481206">
      <w:pPr>
        <w:pStyle w:val="3"/>
        <w:spacing w:before="0" w:after="0" w:line="360" w:lineRule="auto"/>
        <w:rPr>
          <w:rFonts w:ascii="宋体" w:hAnsi="宋体" w:cs="宋体"/>
          <w:sz w:val="28"/>
          <w:szCs w:val="28"/>
        </w:rPr>
      </w:pPr>
      <w:bookmarkStart w:id="36" w:name="_Toc474271562"/>
      <w:r w:rsidRPr="00481206">
        <w:rPr>
          <w:rFonts w:ascii="宋体" w:hAnsi="宋体" w:cs="宋体" w:hint="eastAsia"/>
          <w:sz w:val="28"/>
          <w:szCs w:val="28"/>
        </w:rPr>
        <w:t>2.4课程的前沿及发展趋势</w:t>
      </w:r>
      <w:bookmarkStart w:id="37" w:name="_Toc403319288"/>
      <w:bookmarkStart w:id="38" w:name="_Toc4266"/>
      <w:bookmarkEnd w:id="33"/>
      <w:bookmarkEnd w:id="34"/>
      <w:bookmarkEnd w:id="36"/>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(1)金融期货定价，期货价格和现货价格的关系、持有成本模型、预期未来价格模型、指数期货定价。</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(2)金融远期定价，金融远期和金融期货价格的关系、无收益资产远期合约的定价、支付已知现金收益资产远期合约的定价。</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(3)金融期权定价，期权价格及其影响因素、期权定价的理论基础、布莱克－斯科尔斯期权定价方法、二叉树期权定价模型。</w:t>
      </w:r>
    </w:p>
    <w:p w:rsidR="00481206" w:rsidRPr="00481206" w:rsidRDefault="00481206" w:rsidP="00481206">
      <w:pPr>
        <w:pStyle w:val="3"/>
        <w:spacing w:before="0" w:after="0" w:line="360" w:lineRule="auto"/>
        <w:rPr>
          <w:sz w:val="28"/>
          <w:szCs w:val="28"/>
        </w:rPr>
      </w:pPr>
      <w:bookmarkStart w:id="39" w:name="_Toc474271563"/>
      <w:r w:rsidRPr="00481206">
        <w:rPr>
          <w:rFonts w:ascii="宋体" w:hAnsi="宋体" w:cs="宋体" w:hint="eastAsia"/>
          <w:sz w:val="28"/>
          <w:szCs w:val="28"/>
        </w:rPr>
        <w:t>2.5</w:t>
      </w:r>
      <w:r w:rsidRPr="00481206">
        <w:rPr>
          <w:rFonts w:hint="eastAsia"/>
          <w:sz w:val="28"/>
          <w:szCs w:val="28"/>
        </w:rPr>
        <w:t>课程与经济社会发展的关系</w:t>
      </w:r>
      <w:bookmarkEnd w:id="39"/>
    </w:p>
    <w:p w:rsidR="00481206" w:rsidRPr="00481206" w:rsidRDefault="00481206" w:rsidP="00481206">
      <w:pPr>
        <w:autoSpaceDE w:val="0"/>
        <w:autoSpaceDN w:val="0"/>
        <w:adjustRightInd w:val="0"/>
        <w:snapToGrid w:val="0"/>
        <w:spacing w:line="360" w:lineRule="auto"/>
        <w:ind w:firstLineChars="200" w:firstLine="482"/>
        <w:jc w:val="left"/>
        <w:rPr>
          <w:rFonts w:asciiTheme="minorEastAsia" w:hAnsiTheme="minorEastAsia" w:cs="宋体"/>
          <w:b/>
          <w:kern w:val="0"/>
          <w:sz w:val="24"/>
          <w:szCs w:val="24"/>
        </w:rPr>
      </w:pPr>
      <w:r w:rsidRPr="00481206">
        <w:rPr>
          <w:rFonts w:asciiTheme="minorEastAsia" w:hAnsiTheme="minorEastAsia" w:cs="宋体" w:hint="eastAsia"/>
          <w:b/>
          <w:kern w:val="0"/>
          <w:sz w:val="24"/>
          <w:szCs w:val="24"/>
        </w:rPr>
        <w:t>一、金融衍生市场基本特性</w:t>
      </w:r>
    </w:p>
    <w:p w:rsidR="00481206" w:rsidRPr="00481206" w:rsidRDefault="00481206" w:rsidP="00481206">
      <w:pPr>
        <w:autoSpaceDE w:val="0"/>
        <w:autoSpaceDN w:val="0"/>
        <w:adjustRightInd w:val="0"/>
        <w:snapToGrid w:val="0"/>
        <w:spacing w:line="360" w:lineRule="auto"/>
        <w:ind w:firstLineChars="200" w:firstLine="480"/>
        <w:jc w:val="left"/>
        <w:rPr>
          <w:rFonts w:asciiTheme="minorEastAsia" w:hAnsiTheme="minorEastAsia" w:cs="宋体"/>
          <w:kern w:val="0"/>
          <w:sz w:val="24"/>
          <w:szCs w:val="24"/>
        </w:rPr>
      </w:pPr>
      <w:r w:rsidRPr="00481206">
        <w:rPr>
          <w:rFonts w:asciiTheme="minorEastAsia" w:hAnsiTheme="minorEastAsia" w:cs="宋体" w:hint="eastAsia"/>
          <w:kern w:val="0"/>
          <w:sz w:val="24"/>
          <w:szCs w:val="24"/>
        </w:rPr>
        <w:t>在现代金融史上有两个最伟大的成就，一是有限责任股份公司的产生和确立，二是金融衍生产品市场的产生和发展。前者经历了长达百年的历史才逐渐完善，而衍生金融市场的发展却仅有</w:t>
      </w:r>
      <w:r w:rsidRPr="00481206">
        <w:rPr>
          <w:rFonts w:asciiTheme="minorEastAsia" w:hAnsiTheme="minorEastAsia" w:cs="ZFPCdF-49" w:hint="eastAsia"/>
          <w:kern w:val="0"/>
          <w:sz w:val="24"/>
          <w:szCs w:val="24"/>
        </w:rPr>
        <w:t>20</w:t>
      </w:r>
      <w:r w:rsidRPr="00481206">
        <w:rPr>
          <w:rFonts w:asciiTheme="minorEastAsia" w:hAnsiTheme="minorEastAsia" w:cs="宋体" w:hint="eastAsia"/>
          <w:kern w:val="0"/>
          <w:sz w:val="24"/>
          <w:szCs w:val="24"/>
        </w:rPr>
        <w:t>多年的历史。进入</w:t>
      </w:r>
      <w:r w:rsidRPr="00481206">
        <w:rPr>
          <w:rFonts w:asciiTheme="minorEastAsia" w:hAnsiTheme="minorEastAsia" w:cs="ZFPCdF-49" w:hint="eastAsia"/>
          <w:kern w:val="0"/>
          <w:sz w:val="24"/>
          <w:szCs w:val="24"/>
        </w:rPr>
        <w:t>20</w:t>
      </w:r>
      <w:r w:rsidRPr="00481206">
        <w:rPr>
          <w:rFonts w:asciiTheme="minorEastAsia" w:hAnsiTheme="minorEastAsia" w:cs="宋体" w:hint="eastAsia"/>
          <w:kern w:val="0"/>
          <w:sz w:val="24"/>
          <w:szCs w:val="24"/>
        </w:rPr>
        <w:t>世纪</w:t>
      </w:r>
      <w:r w:rsidRPr="00481206">
        <w:rPr>
          <w:rFonts w:asciiTheme="minorEastAsia" w:hAnsiTheme="minorEastAsia" w:cs="ZFPCdF-49" w:hint="eastAsia"/>
          <w:kern w:val="0"/>
          <w:sz w:val="24"/>
          <w:szCs w:val="24"/>
        </w:rPr>
        <w:t>90</w:t>
      </w:r>
      <w:r w:rsidRPr="00481206">
        <w:rPr>
          <w:rFonts w:asciiTheme="minorEastAsia" w:hAnsiTheme="minorEastAsia" w:cs="宋体" w:hint="eastAsia"/>
          <w:kern w:val="0"/>
          <w:sz w:val="24"/>
          <w:szCs w:val="24"/>
        </w:rPr>
        <w:t>年代以来，衍生金融市场的发展成燎原之势，品种数量、市场深度和广度均有迅猛提高。据国际清算银行的统计资料，全世界</w:t>
      </w:r>
      <w:r w:rsidRPr="00481206">
        <w:rPr>
          <w:rFonts w:asciiTheme="minorEastAsia" w:hAnsiTheme="minorEastAsia" w:cs="宋体" w:hint="eastAsia"/>
          <w:kern w:val="0"/>
          <w:sz w:val="24"/>
          <w:szCs w:val="24"/>
        </w:rPr>
        <w:lastRenderedPageBreak/>
        <w:t>衍生金融交易额近十年来一直呈高速增长，</w:t>
      </w:r>
      <w:r w:rsidRPr="00481206">
        <w:rPr>
          <w:rFonts w:asciiTheme="minorEastAsia" w:hAnsiTheme="minorEastAsia" w:cs="ZFPCdF-49" w:hint="eastAsia"/>
          <w:kern w:val="0"/>
          <w:sz w:val="24"/>
          <w:szCs w:val="24"/>
        </w:rPr>
        <w:t>1986</w:t>
      </w:r>
      <w:r w:rsidRPr="00481206">
        <w:rPr>
          <w:rFonts w:asciiTheme="minorEastAsia" w:hAnsiTheme="minorEastAsia" w:cs="宋体" w:hint="eastAsia"/>
          <w:kern w:val="0"/>
          <w:sz w:val="24"/>
          <w:szCs w:val="24"/>
        </w:rPr>
        <w:t>年全球衍生金融交易额不到</w:t>
      </w:r>
      <w:r w:rsidRPr="00481206">
        <w:rPr>
          <w:rFonts w:asciiTheme="minorEastAsia" w:hAnsiTheme="minorEastAsia" w:cs="ZFPCdF-49" w:hint="eastAsia"/>
          <w:kern w:val="0"/>
          <w:sz w:val="24"/>
          <w:szCs w:val="24"/>
        </w:rPr>
        <w:t>2</w:t>
      </w:r>
      <w:r w:rsidRPr="00481206">
        <w:rPr>
          <w:rFonts w:asciiTheme="minorEastAsia" w:hAnsiTheme="minorEastAsia" w:cs="宋体" w:hint="eastAsia"/>
          <w:kern w:val="0"/>
          <w:sz w:val="24"/>
          <w:szCs w:val="24"/>
        </w:rPr>
        <w:t>万亿美元，到</w:t>
      </w:r>
      <w:r w:rsidRPr="00481206">
        <w:rPr>
          <w:rFonts w:asciiTheme="minorEastAsia" w:hAnsiTheme="minorEastAsia" w:cs="ZFPCdF-49" w:hint="eastAsia"/>
          <w:kern w:val="0"/>
          <w:sz w:val="24"/>
          <w:szCs w:val="24"/>
        </w:rPr>
        <w:t>1995</w:t>
      </w:r>
      <w:r w:rsidRPr="00481206">
        <w:rPr>
          <w:rFonts w:asciiTheme="minorEastAsia" w:hAnsiTheme="minorEastAsia" w:cs="宋体" w:hint="eastAsia"/>
          <w:kern w:val="0"/>
          <w:sz w:val="24"/>
          <w:szCs w:val="24"/>
        </w:rPr>
        <w:t>年底已增至</w:t>
      </w:r>
      <w:r w:rsidRPr="00481206">
        <w:rPr>
          <w:rFonts w:asciiTheme="minorEastAsia" w:hAnsiTheme="minorEastAsia" w:cs="ZFPCdF-49" w:hint="eastAsia"/>
          <w:kern w:val="0"/>
          <w:sz w:val="24"/>
          <w:szCs w:val="24"/>
        </w:rPr>
        <w:t>65</w:t>
      </w:r>
      <w:r w:rsidRPr="00481206">
        <w:rPr>
          <w:rFonts w:asciiTheme="minorEastAsia" w:hAnsiTheme="minorEastAsia" w:cs="宋体" w:hint="eastAsia"/>
          <w:kern w:val="0"/>
          <w:sz w:val="24"/>
          <w:szCs w:val="24"/>
        </w:rPr>
        <w:t>万亿美元。金融专家把基础金融产品、利率、汇率、期限、合约等予以各种组合，分解复合成令人眼花缭乱的衍生金融产品。到目前为止，国际金融市场上的衍生工具种类已达</w:t>
      </w:r>
      <w:r w:rsidRPr="00481206">
        <w:rPr>
          <w:rFonts w:asciiTheme="minorEastAsia" w:hAnsiTheme="minorEastAsia" w:cs="ZFPCdF-49" w:hint="eastAsia"/>
          <w:kern w:val="0"/>
          <w:sz w:val="24"/>
          <w:szCs w:val="24"/>
        </w:rPr>
        <w:t>1200</w:t>
      </w:r>
      <w:r w:rsidRPr="00481206">
        <w:rPr>
          <w:rFonts w:asciiTheme="minorEastAsia" w:hAnsiTheme="minorEastAsia" w:cs="宋体" w:hint="eastAsia"/>
          <w:kern w:val="0"/>
          <w:sz w:val="24"/>
          <w:szCs w:val="24"/>
        </w:rPr>
        <w:t>多种，许多创新衍生产品，不但使业外人士入坠云里雾里，而且往往令专业人士也觉扑朔迷离。由于衍生产品交易是顶级金融智慧游戏，故也只有大型银行才敢涉足。美国是全球金融衍生市场的执牛耳者，在其中</w:t>
      </w:r>
      <w:r w:rsidRPr="00481206">
        <w:rPr>
          <w:rFonts w:asciiTheme="minorEastAsia" w:hAnsiTheme="minorEastAsia" w:cs="ZFPCdF-49" w:hint="eastAsia"/>
          <w:kern w:val="0"/>
          <w:sz w:val="24"/>
          <w:szCs w:val="24"/>
        </w:rPr>
        <w:t>10</w:t>
      </w:r>
      <w:r w:rsidRPr="00481206">
        <w:rPr>
          <w:rFonts w:asciiTheme="minorEastAsia" w:hAnsiTheme="minorEastAsia" w:cs="宋体" w:hint="eastAsia"/>
          <w:kern w:val="0"/>
          <w:sz w:val="24"/>
          <w:szCs w:val="24"/>
        </w:rPr>
        <w:t>家大型投资银行就占了交易的</w:t>
      </w:r>
      <w:r w:rsidRPr="00481206">
        <w:rPr>
          <w:rFonts w:asciiTheme="minorEastAsia" w:hAnsiTheme="minorEastAsia" w:cs="ZFPCdF-49" w:hint="eastAsia"/>
          <w:kern w:val="0"/>
          <w:sz w:val="24"/>
          <w:szCs w:val="24"/>
        </w:rPr>
        <w:t>90%</w:t>
      </w:r>
      <w:r w:rsidRPr="00481206">
        <w:rPr>
          <w:rFonts w:asciiTheme="minorEastAsia" w:hAnsiTheme="minorEastAsia" w:cs="宋体" w:hint="eastAsia"/>
          <w:kern w:val="0"/>
          <w:sz w:val="24"/>
          <w:szCs w:val="24"/>
        </w:rPr>
        <w:t>。</w:t>
      </w:r>
    </w:p>
    <w:p w:rsidR="00481206" w:rsidRPr="00481206" w:rsidRDefault="00481206" w:rsidP="00481206">
      <w:pPr>
        <w:autoSpaceDE w:val="0"/>
        <w:autoSpaceDN w:val="0"/>
        <w:adjustRightInd w:val="0"/>
        <w:snapToGrid w:val="0"/>
        <w:spacing w:line="360" w:lineRule="auto"/>
        <w:ind w:firstLineChars="200" w:firstLine="480"/>
        <w:jc w:val="left"/>
        <w:rPr>
          <w:rFonts w:asciiTheme="minorEastAsia" w:hAnsiTheme="minorEastAsia" w:cs="宋体"/>
          <w:kern w:val="0"/>
          <w:sz w:val="24"/>
          <w:szCs w:val="24"/>
        </w:rPr>
      </w:pPr>
      <w:r w:rsidRPr="00481206">
        <w:rPr>
          <w:rFonts w:asciiTheme="minorEastAsia" w:hAnsiTheme="minorEastAsia" w:cs="宋体" w:hint="eastAsia"/>
          <w:kern w:val="0"/>
          <w:sz w:val="24"/>
          <w:szCs w:val="24"/>
        </w:rPr>
        <w:t>金融衍生工具原本是为了降低风险而设计的。对于进出口商而言，只要付汇或收汇与本币不同，期限有间距，做一笔套期保值的对冲业务就可以化解汇率风险。对金融机构和投资银行或其他法人机构的筹资活动及负债管理，只要适当运用金融衍生工具，对称调度，便可以降低利率风险。金融衍生市场在过去</w:t>
      </w:r>
      <w:r w:rsidRPr="00481206">
        <w:rPr>
          <w:rFonts w:asciiTheme="minorEastAsia" w:hAnsiTheme="minorEastAsia" w:cs="ZFPCdF-49" w:hint="eastAsia"/>
          <w:kern w:val="0"/>
          <w:sz w:val="24"/>
          <w:szCs w:val="24"/>
        </w:rPr>
        <w:t>20</w:t>
      </w:r>
      <w:r w:rsidRPr="00481206">
        <w:rPr>
          <w:rFonts w:asciiTheme="minorEastAsia" w:hAnsiTheme="minorEastAsia" w:cs="宋体" w:hint="eastAsia"/>
          <w:kern w:val="0"/>
          <w:sz w:val="24"/>
          <w:szCs w:val="24"/>
        </w:rPr>
        <w:t>年获得了爆炸性的增长，根本原因在于它满足了一种重要的商业要求：即为公司、企业、金融机构提供了以较低成本管理金融自由化浪潮中金融风险的有效工具，在商品市场之外的资本市场形成了一个具有风险转移功能的另类市场，为世界金融业的发展做出了划时代的贡献。正如美联储主席格林斯潘所言：“近几年发展起来的一批衍生产品提高了经济效益，这些衍生合约的经济功能是使以前被绑在一起的风险分解成不同的部分，而把一部分风险转移给那些最愿意承担和管理这些风险的人……。”也正因为如此，近年来，更多的国家开始引入金融衍生市场，允许金融机构利用金融衍生交易进行资产管理，使得全球金融衍生市场的发展呈现较快的发展步伐，从而出现了更多的进行金融衍生交易的金融中介机构。金融衍生工具在带来巨大经济好处的同时，也给市场带来了不稳定的因素，尽管金融衍生市场的出现方便了风险管理，为规避风险提供了运作空间，但并不意味着化解了金融风险，伴随着金融衍生工具发展步伐的不断加快，其风险日益暴露出来。尤其是</w:t>
      </w:r>
      <w:r w:rsidRPr="00481206">
        <w:rPr>
          <w:rFonts w:asciiTheme="minorEastAsia" w:hAnsiTheme="minorEastAsia" w:cs="ZFPCdG-50" w:hint="eastAsia"/>
          <w:kern w:val="0"/>
          <w:sz w:val="24"/>
          <w:szCs w:val="24"/>
        </w:rPr>
        <w:t>20</w:t>
      </w:r>
      <w:r w:rsidRPr="00481206">
        <w:rPr>
          <w:rFonts w:asciiTheme="minorEastAsia" w:hAnsiTheme="minorEastAsia" w:cs="宋体" w:hint="eastAsia"/>
          <w:kern w:val="0"/>
          <w:sz w:val="24"/>
          <w:szCs w:val="24"/>
        </w:rPr>
        <w:t>世纪</w:t>
      </w:r>
      <w:r w:rsidRPr="00481206">
        <w:rPr>
          <w:rFonts w:asciiTheme="minorEastAsia" w:hAnsiTheme="minorEastAsia" w:cs="ZFPCdG-50" w:hint="eastAsia"/>
          <w:kern w:val="0"/>
          <w:sz w:val="24"/>
          <w:szCs w:val="24"/>
        </w:rPr>
        <w:t>90</w:t>
      </w:r>
      <w:r w:rsidRPr="00481206">
        <w:rPr>
          <w:rFonts w:asciiTheme="minorEastAsia" w:hAnsiTheme="minorEastAsia" w:cs="宋体" w:hint="eastAsia"/>
          <w:kern w:val="0"/>
          <w:sz w:val="24"/>
          <w:szCs w:val="24"/>
        </w:rPr>
        <w:t>年代以来，国际衍生市场出现了前所未有的动荡。国际市场上的投机商借助投资银行发挥杠杆作用，瞄准某一货币看涨或看跌，运用衍生工具，或推波助澜，或轮番轰炸，使得汇率的波动大起大落。东南亚金融危机过后，国际社会对对冲基金的指责更是不绝于耳。</w:t>
      </w:r>
      <w:r w:rsidRPr="00481206">
        <w:rPr>
          <w:rFonts w:asciiTheme="minorEastAsia" w:hAnsiTheme="minorEastAsia" w:cs="ZFPCdG-50" w:hint="eastAsia"/>
          <w:kern w:val="0"/>
          <w:sz w:val="24"/>
          <w:szCs w:val="24"/>
        </w:rPr>
        <w:t>1995</w:t>
      </w:r>
      <w:r w:rsidRPr="00481206">
        <w:rPr>
          <w:rFonts w:asciiTheme="minorEastAsia" w:hAnsiTheme="minorEastAsia" w:cs="宋体" w:hint="eastAsia"/>
          <w:kern w:val="0"/>
          <w:sz w:val="24"/>
          <w:szCs w:val="24"/>
        </w:rPr>
        <w:t>年</w:t>
      </w:r>
      <w:r w:rsidRPr="00481206">
        <w:rPr>
          <w:rFonts w:asciiTheme="minorEastAsia" w:hAnsiTheme="minorEastAsia" w:cs="ZFPCdG-50" w:hint="eastAsia"/>
          <w:kern w:val="0"/>
          <w:sz w:val="24"/>
          <w:szCs w:val="24"/>
        </w:rPr>
        <w:t>2</w:t>
      </w:r>
      <w:r w:rsidRPr="00481206">
        <w:rPr>
          <w:rFonts w:asciiTheme="minorEastAsia" w:hAnsiTheme="minorEastAsia" w:cs="宋体" w:hint="eastAsia"/>
          <w:kern w:val="0"/>
          <w:sz w:val="24"/>
          <w:szCs w:val="24"/>
        </w:rPr>
        <w:t>月，发生了一件震惊全球金融界的案例——巴林银行倒闭。该行曾经是英国历史上最悠久、经营业绩良好的六大商人银行之一，因一外汇交易员在衍生市场的投机失败而险些破产。惊人的事件，引发了人们对金融衍生市场的重视，甚至有人提出要取缔金融衍生市场的过激观点，一些人把“金融衍生产品”看作高风险和灾难的代名词。许多人对其社会经济效益持有截然不同的看法，诸如衍生市场是否加剧了资本市场的价格</w:t>
      </w:r>
      <w:r w:rsidRPr="00481206">
        <w:rPr>
          <w:rFonts w:asciiTheme="minorEastAsia" w:hAnsiTheme="minorEastAsia" w:cs="宋体" w:hint="eastAsia"/>
          <w:kern w:val="0"/>
          <w:sz w:val="24"/>
          <w:szCs w:val="24"/>
        </w:rPr>
        <w:lastRenderedPageBreak/>
        <w:t>波动，衍生市场是否导致了泡沫经济，以及衍生市场与金融危机的关联度等都是具有很大争议的问题。这些问题的澄清对于我们正确认识金融衍生市场在一国经济和金融体系的地位是至关重要的，尤其对我国这样一个在衍生市场发展中几乎处于空白的国家而言，更是具有重要的现实意义。</w:t>
      </w:r>
    </w:p>
    <w:p w:rsidR="00481206" w:rsidRPr="00481206" w:rsidRDefault="00481206" w:rsidP="00481206">
      <w:pPr>
        <w:autoSpaceDE w:val="0"/>
        <w:autoSpaceDN w:val="0"/>
        <w:adjustRightInd w:val="0"/>
        <w:snapToGrid w:val="0"/>
        <w:spacing w:line="360" w:lineRule="auto"/>
        <w:ind w:firstLineChars="200" w:firstLine="482"/>
        <w:jc w:val="left"/>
        <w:rPr>
          <w:rFonts w:asciiTheme="minorEastAsia" w:hAnsiTheme="minorEastAsia" w:cs="宋体"/>
          <w:b/>
          <w:kern w:val="0"/>
          <w:sz w:val="24"/>
          <w:szCs w:val="24"/>
        </w:rPr>
      </w:pPr>
      <w:r w:rsidRPr="00481206">
        <w:rPr>
          <w:rFonts w:asciiTheme="minorEastAsia" w:hAnsiTheme="minorEastAsia" w:cs="宋体" w:hint="eastAsia"/>
          <w:b/>
          <w:kern w:val="0"/>
          <w:sz w:val="24"/>
          <w:szCs w:val="24"/>
        </w:rPr>
        <w:t>二、衍生市场和价格效应</w:t>
      </w:r>
    </w:p>
    <w:p w:rsidR="00481206" w:rsidRPr="00481206" w:rsidRDefault="00481206" w:rsidP="00481206">
      <w:pPr>
        <w:autoSpaceDE w:val="0"/>
        <w:autoSpaceDN w:val="0"/>
        <w:adjustRightInd w:val="0"/>
        <w:snapToGrid w:val="0"/>
        <w:spacing w:line="360" w:lineRule="auto"/>
        <w:ind w:firstLineChars="200" w:firstLine="480"/>
        <w:jc w:val="left"/>
        <w:rPr>
          <w:rFonts w:asciiTheme="minorEastAsia" w:hAnsiTheme="minorEastAsia" w:cs="宋体"/>
          <w:kern w:val="0"/>
          <w:sz w:val="24"/>
          <w:szCs w:val="24"/>
        </w:rPr>
      </w:pPr>
      <w:r w:rsidRPr="00481206">
        <w:rPr>
          <w:rFonts w:asciiTheme="minorEastAsia" w:hAnsiTheme="minorEastAsia" w:cs="宋体" w:hint="eastAsia"/>
          <w:kern w:val="0"/>
          <w:sz w:val="24"/>
          <w:szCs w:val="24"/>
        </w:rPr>
        <w:t>金融衍生工具的价格即指它的价格发现功能，是相关资产的未来某一确定时期的合理价格预期，能反映相关资产未来的价格水平和趋势。如股票指数期货和股票指数期权的价格水平反映了交易者对未来一定时期股票市场总体形势的判断，是对股票指数所包括的成份股票价格变化的综合反映。研究衍生市场的价格效应不能不提及</w:t>
      </w:r>
      <w:r w:rsidRPr="00481206">
        <w:rPr>
          <w:rFonts w:asciiTheme="minorEastAsia" w:hAnsiTheme="minorEastAsia" w:cs="ZFPCdG-50" w:hint="eastAsia"/>
          <w:kern w:val="0"/>
          <w:sz w:val="24"/>
          <w:szCs w:val="24"/>
        </w:rPr>
        <w:t>1987</w:t>
      </w:r>
      <w:r w:rsidRPr="00481206">
        <w:rPr>
          <w:rFonts w:asciiTheme="minorEastAsia" w:hAnsiTheme="minorEastAsia" w:cs="宋体" w:hint="eastAsia"/>
          <w:kern w:val="0"/>
          <w:sz w:val="24"/>
          <w:szCs w:val="24"/>
        </w:rPr>
        <w:t>年10月19日晨美国发生的“股灾”，这一天道·琼斯指数下跌</w:t>
      </w:r>
      <w:r w:rsidRPr="00481206">
        <w:rPr>
          <w:rFonts w:asciiTheme="minorEastAsia" w:hAnsiTheme="minorEastAsia" w:cs="ZFPCdG-50" w:hint="eastAsia"/>
          <w:kern w:val="0"/>
          <w:sz w:val="24"/>
          <w:szCs w:val="24"/>
        </w:rPr>
        <w:t>23%</w:t>
      </w:r>
      <w:r w:rsidRPr="00481206">
        <w:rPr>
          <w:rFonts w:asciiTheme="minorEastAsia" w:hAnsiTheme="minorEastAsia" w:cs="宋体" w:hint="eastAsia"/>
          <w:kern w:val="0"/>
          <w:sz w:val="24"/>
          <w:szCs w:val="24"/>
        </w:rPr>
        <w:t>，美国以外的其他股票市场也狂跌不止，故被称为“黑色星期一”。股灾发生后，传媒和许多市场观察者把予头直指股票指数相关的衍生工具及其市场参与者。如《华尔街日报》在股灾第二天报道“一些交易者和研究人员所恐惧的事情发生了，主要的指数期货第一次跌入棘手的、无法控制的大跳水中，整个美国资本市场引发了危机感。”后来，美国政府、监管当局和交易所发起对股灾原因的六项研究，大量的研究证据表明，包括股票指数期货与期权在内的衍生工具交易没有增加股票价格的波动性，也不对“黑色星期一”负责。实际上，在</w:t>
      </w:r>
      <w:r w:rsidRPr="00481206">
        <w:rPr>
          <w:rFonts w:asciiTheme="minorEastAsia" w:hAnsiTheme="minorEastAsia" w:cs="ZFPCdG-50" w:hint="eastAsia"/>
          <w:kern w:val="0"/>
          <w:sz w:val="24"/>
          <w:szCs w:val="24"/>
        </w:rPr>
        <w:t>1987</w:t>
      </w:r>
      <w:r w:rsidRPr="00481206">
        <w:rPr>
          <w:rFonts w:asciiTheme="minorEastAsia" w:hAnsiTheme="minorEastAsia" w:cs="宋体" w:hint="eastAsia"/>
          <w:kern w:val="0"/>
          <w:sz w:val="24"/>
          <w:szCs w:val="24"/>
        </w:rPr>
        <w:t>年</w:t>
      </w:r>
      <w:r w:rsidRPr="00481206">
        <w:rPr>
          <w:rFonts w:asciiTheme="minorEastAsia" w:hAnsiTheme="minorEastAsia" w:cs="ZFPCdG-50" w:hint="eastAsia"/>
          <w:kern w:val="0"/>
          <w:sz w:val="24"/>
          <w:szCs w:val="24"/>
        </w:rPr>
        <w:t>10</w:t>
      </w:r>
      <w:r w:rsidRPr="00481206">
        <w:rPr>
          <w:rFonts w:asciiTheme="minorEastAsia" w:hAnsiTheme="minorEastAsia" w:cs="宋体" w:hint="eastAsia"/>
          <w:kern w:val="0"/>
          <w:sz w:val="24"/>
          <w:szCs w:val="24"/>
        </w:rPr>
        <w:t>月</w:t>
      </w:r>
      <w:r w:rsidRPr="00481206">
        <w:rPr>
          <w:rFonts w:asciiTheme="minorEastAsia" w:hAnsiTheme="minorEastAsia" w:cs="ZFPCdG-50" w:hint="eastAsia"/>
          <w:kern w:val="0"/>
          <w:sz w:val="24"/>
          <w:szCs w:val="24"/>
        </w:rPr>
        <w:t>19</w:t>
      </w:r>
      <w:r w:rsidRPr="00481206">
        <w:rPr>
          <w:rFonts w:asciiTheme="minorEastAsia" w:hAnsiTheme="minorEastAsia" w:cs="宋体" w:hint="eastAsia"/>
          <w:kern w:val="0"/>
          <w:sz w:val="24"/>
          <w:szCs w:val="24"/>
        </w:rPr>
        <w:t>日股灾发生当日，程序交易已受到严格限制，特别是纽约证券交易所的</w:t>
      </w:r>
      <w:r w:rsidRPr="00481206">
        <w:rPr>
          <w:rFonts w:asciiTheme="minorEastAsia" w:hAnsiTheme="minorEastAsia" w:cs="ZFPCdG-50"/>
          <w:kern w:val="0"/>
          <w:sz w:val="24"/>
          <w:szCs w:val="24"/>
        </w:rPr>
        <w:t>,-.</w:t>
      </w:r>
      <w:r w:rsidRPr="00481206">
        <w:rPr>
          <w:rFonts w:asciiTheme="minorEastAsia" w:hAnsiTheme="minorEastAsia" w:cs="宋体" w:hint="eastAsia"/>
          <w:kern w:val="0"/>
          <w:sz w:val="24"/>
          <w:szCs w:val="24"/>
        </w:rPr>
        <w:t>特别指令交易系统暂停后，套利者即使可以发现机会也无法执行套利策略。因此，股票指数不是罪魁祸首。相反，对指数套利设置的障碍，降低了股指期货市场上的需求加剧了股指的下跌。对于股灾的真正原因有许多解释，包括制度性安排、股灾前对股票的高估，以及经济信息的过激反映等。大多人倾向于股灾代表投机泡沫破灭这一观点。值得注意的是，金融衍生市场的引入虽然具有价格稳定效应，在某种意义上讲，金融衍生市场就是一家提供价格稳定保险服务的保险公司。但是，由于市场上存在着大量的“准理性投机”，因此其价格波动要比相关工具的价格波动幅度要大，尤其是当其价格没有任何限制的情况下，衍生工具的价格变化还可能导致相关市场价格的剧烈变化。对冲基金冲击国际金融市场导致的东南亚金融危机、俄罗斯金融危机都证明了这一点。但问题的本身不在于金融工具，而在于投机的程度过高，以及对于该业务没有形成有效的监管体系。对此，各国金融监管机构已认识到加强国际合作的重要性，并在积极努力，以加强各国间、银行和准银行金融机构间的监管合作，力图寻求有效的监管途径。</w:t>
      </w:r>
    </w:p>
    <w:p w:rsidR="00481206" w:rsidRPr="00481206" w:rsidRDefault="00481206" w:rsidP="00481206">
      <w:pPr>
        <w:autoSpaceDE w:val="0"/>
        <w:autoSpaceDN w:val="0"/>
        <w:adjustRightInd w:val="0"/>
        <w:snapToGrid w:val="0"/>
        <w:spacing w:line="360" w:lineRule="auto"/>
        <w:ind w:firstLineChars="200" w:firstLine="482"/>
        <w:jc w:val="left"/>
        <w:rPr>
          <w:rFonts w:asciiTheme="minorEastAsia" w:hAnsiTheme="minorEastAsia" w:cs="宋体"/>
          <w:b/>
          <w:kern w:val="0"/>
          <w:sz w:val="24"/>
          <w:szCs w:val="24"/>
        </w:rPr>
      </w:pPr>
      <w:r w:rsidRPr="00481206">
        <w:rPr>
          <w:rFonts w:asciiTheme="minorEastAsia" w:hAnsiTheme="minorEastAsia" w:cs="宋体" w:hint="eastAsia"/>
          <w:b/>
          <w:kern w:val="0"/>
          <w:sz w:val="24"/>
          <w:szCs w:val="24"/>
        </w:rPr>
        <w:t>三、衍生市场和泡沫经济</w:t>
      </w:r>
    </w:p>
    <w:p w:rsidR="00481206" w:rsidRPr="00481206" w:rsidRDefault="00481206" w:rsidP="00481206">
      <w:pPr>
        <w:autoSpaceDE w:val="0"/>
        <w:autoSpaceDN w:val="0"/>
        <w:adjustRightInd w:val="0"/>
        <w:snapToGrid w:val="0"/>
        <w:spacing w:line="360" w:lineRule="auto"/>
        <w:ind w:firstLineChars="200" w:firstLine="480"/>
        <w:jc w:val="left"/>
        <w:rPr>
          <w:rFonts w:asciiTheme="minorEastAsia" w:hAnsiTheme="minorEastAsia" w:cs="宋体"/>
          <w:kern w:val="0"/>
          <w:sz w:val="24"/>
          <w:szCs w:val="24"/>
        </w:rPr>
      </w:pPr>
      <w:r w:rsidRPr="00481206">
        <w:rPr>
          <w:rFonts w:asciiTheme="minorEastAsia" w:hAnsiTheme="minorEastAsia" w:cs="宋体" w:hint="eastAsia"/>
          <w:kern w:val="0"/>
          <w:sz w:val="24"/>
          <w:szCs w:val="24"/>
        </w:rPr>
        <w:lastRenderedPageBreak/>
        <w:t>泡沫经济是现代市场经济发展进程中特有的经济现象，而伴随现代市场经济发展起来的金融衍生市场，由于其明显的投机性和虚拟性特征，往往被视为制造泡沫经济的罪魁祸首，而这一观点本身是值得商榷的。</w:t>
      </w:r>
    </w:p>
    <w:p w:rsidR="00481206" w:rsidRPr="00481206" w:rsidRDefault="00481206" w:rsidP="00481206">
      <w:pPr>
        <w:autoSpaceDE w:val="0"/>
        <w:autoSpaceDN w:val="0"/>
        <w:adjustRightInd w:val="0"/>
        <w:snapToGrid w:val="0"/>
        <w:spacing w:line="360" w:lineRule="auto"/>
        <w:ind w:firstLineChars="200" w:firstLine="480"/>
        <w:jc w:val="left"/>
        <w:rPr>
          <w:rFonts w:asciiTheme="minorEastAsia" w:hAnsiTheme="minorEastAsia" w:cs="宋体"/>
          <w:kern w:val="0"/>
          <w:sz w:val="24"/>
          <w:szCs w:val="24"/>
        </w:rPr>
      </w:pPr>
      <w:r w:rsidRPr="00481206">
        <w:rPr>
          <w:rFonts w:asciiTheme="minorEastAsia" w:hAnsiTheme="minorEastAsia" w:cs="宋体" w:hint="eastAsia"/>
          <w:kern w:val="0"/>
          <w:sz w:val="24"/>
          <w:szCs w:val="24"/>
        </w:rPr>
        <w:t>首先，我们必须分清经济泡沫和泡沫经济这两个有实质区别的概念。泡沫可分为两种类型，一种是投资者在市场经济条件下追逐高赢利的正常反映，在金融一体化和信息一体化的现代市场经济中这种泡沫是个别的、短期的，主要存在于虚拟资本市场。通常表现为在信息失真或错误运用信息的情况下，加之价格上涨预期，投资者竞相入市抢购，导致资本市场价格上涨，严重偏离实体价值的现象。这种泡沫可以通过市场的预期自我调节归于均衡，因而称之为经济泡沫。而第二种泡沫则涉及到存在结构性缺陷的国民经济某一行业或重要领域，通常意味着资源配置的失衡，只有通过艰难的长期的经济调整才能得到恢复。这种结构性泡沫由于其与实体经济联系紧密，因而称之为泡沫经济。经济泡沫是市场经济不可避免的，而泡沫经济则不是市场经济的必然产物，是应该警惕和避免的。</w:t>
      </w:r>
    </w:p>
    <w:p w:rsidR="00481206" w:rsidRPr="00481206" w:rsidRDefault="00481206" w:rsidP="00481206">
      <w:pPr>
        <w:autoSpaceDE w:val="0"/>
        <w:autoSpaceDN w:val="0"/>
        <w:adjustRightInd w:val="0"/>
        <w:snapToGrid w:val="0"/>
        <w:spacing w:line="360" w:lineRule="auto"/>
        <w:ind w:firstLineChars="200" w:firstLine="480"/>
        <w:jc w:val="left"/>
        <w:rPr>
          <w:rFonts w:asciiTheme="minorEastAsia" w:hAnsiTheme="minorEastAsia" w:cs="宋体"/>
          <w:kern w:val="0"/>
          <w:sz w:val="24"/>
          <w:szCs w:val="24"/>
        </w:rPr>
      </w:pPr>
      <w:r w:rsidRPr="00481206">
        <w:rPr>
          <w:rFonts w:asciiTheme="minorEastAsia" w:hAnsiTheme="minorEastAsia" w:cs="宋体" w:hint="eastAsia"/>
          <w:kern w:val="0"/>
          <w:sz w:val="24"/>
          <w:szCs w:val="24"/>
        </w:rPr>
        <w:t>其次，衍生产品交易与经济泡沫的形成具有很大的关联性。由于金融衍生工具既可以以某种商品货币为基础资产，也可以以某种虚拟资本</w:t>
      </w:r>
      <w:r w:rsidRPr="00481206">
        <w:rPr>
          <w:rFonts w:asciiTheme="minorEastAsia" w:hAnsiTheme="minorEastAsia" w:cs="ZFPCdH-51"/>
          <w:kern w:val="0"/>
          <w:sz w:val="24"/>
          <w:szCs w:val="24"/>
        </w:rPr>
        <w:t>（</w:t>
      </w:r>
      <w:r w:rsidRPr="00481206">
        <w:rPr>
          <w:rFonts w:asciiTheme="minorEastAsia" w:hAnsiTheme="minorEastAsia" w:cs="宋体" w:hint="eastAsia"/>
          <w:kern w:val="0"/>
          <w:sz w:val="24"/>
          <w:szCs w:val="24"/>
        </w:rPr>
        <w:t>股票、股指及其期货等</w:t>
      </w:r>
      <w:r w:rsidRPr="00481206">
        <w:rPr>
          <w:rFonts w:asciiTheme="minorEastAsia" w:hAnsiTheme="minorEastAsia" w:cs="ZFPCdH-51"/>
          <w:kern w:val="0"/>
          <w:sz w:val="24"/>
          <w:szCs w:val="24"/>
        </w:rPr>
        <w:t>）</w:t>
      </w:r>
      <w:r w:rsidRPr="00481206">
        <w:rPr>
          <w:rFonts w:asciiTheme="minorEastAsia" w:hAnsiTheme="minorEastAsia" w:cs="宋体" w:hint="eastAsia"/>
          <w:kern w:val="0"/>
          <w:sz w:val="24"/>
          <w:szCs w:val="24"/>
        </w:rPr>
        <w:t>为基础资产，此时它便具有双重虚拟性。虚拟性所产生的市场后果就是金融衍生市场的规模会大大超过原生资本市场的规模，甚至有可能脱离原生资本市场独立运动。加之衍生市场价格的高低在很大程度上取决于卖者和买者根据自己掌握的信息，以及对未来价格的预期，当一种金融产品价格发生波动时，价格越是上涨，就越是有人由于预期价格上涨而入市抢购，这种所谓的“羊群”效应又会使价格进一步上涨的预期增强。当这种正反馈过程得到足够的资金支持时，就会出现虚拟资本市场价格完全脱离原生资本市场价格而膨胀的现象，经济泡沫便应运而生。</w:t>
      </w:r>
    </w:p>
    <w:p w:rsidR="00481206" w:rsidRPr="00481206" w:rsidRDefault="00481206" w:rsidP="00481206">
      <w:pPr>
        <w:autoSpaceDE w:val="0"/>
        <w:autoSpaceDN w:val="0"/>
        <w:adjustRightInd w:val="0"/>
        <w:snapToGrid w:val="0"/>
        <w:spacing w:line="360" w:lineRule="auto"/>
        <w:ind w:firstLineChars="200" w:firstLine="480"/>
        <w:jc w:val="left"/>
        <w:rPr>
          <w:rFonts w:asciiTheme="minorEastAsia" w:hAnsiTheme="minorEastAsia" w:cs="宋体"/>
          <w:kern w:val="0"/>
          <w:sz w:val="24"/>
          <w:szCs w:val="24"/>
        </w:rPr>
      </w:pPr>
      <w:r w:rsidRPr="00481206">
        <w:rPr>
          <w:rFonts w:asciiTheme="minorEastAsia" w:hAnsiTheme="minorEastAsia" w:cs="宋体" w:hint="eastAsia"/>
          <w:kern w:val="0"/>
          <w:sz w:val="24"/>
          <w:szCs w:val="24"/>
        </w:rPr>
        <w:t>再次，泡沫经济形成的直接根源在于实体经济。由于金融衍生产品价格涨跌直观，杠杆性操作突出等特点，特别迎合投资者的心理。正是由于这一点，人们往往把金融衍生市场的投机资本视为泡沫经济产生与发展的发源地。这种观点存在偏颇之处，可以从以下几个方面的分析看出来：第一，投机是通过单纯买卖而赚取价差获利的经济行为。投机的趋利性决定它是经济泡沫形成的直接动因。随着资本的投资需求扩大，出于投机的虚拟资产操作盛行，经济泡沫也会越吹越大。如果投机交易的双方都用自己所拥有的资产或现金进行交易，风险利润只是在投机者之间转手，盈亏之和为零。这种情况下投机交易不会对实物经济发生影响。只有当信用参与，且通过循环往复的虚拟抵押、担保</w:t>
      </w:r>
      <w:r w:rsidRPr="00481206">
        <w:rPr>
          <w:rFonts w:asciiTheme="minorEastAsia" w:hAnsiTheme="minorEastAsia" w:cs="宋体" w:hint="eastAsia"/>
          <w:kern w:val="0"/>
          <w:sz w:val="24"/>
          <w:szCs w:val="24"/>
        </w:rPr>
        <w:lastRenderedPageBreak/>
        <w:t>进行再投入，并由于信用链条的整合，才会对实物经济产生危害，经济泡沫演变为泡沫经济。第二，在市场监督机制和调控手段完善的条件下，衍生市场的投机吹起的经济泡沫不会形成泡沫经济。投机活动在市场经济中有它不可或缺的功能，即它有助于发现价格，实现市场均衡，从而达到资源优化配置。当投资过多，出现泡沫时，市场的均衡将被其打破，人们怕盈利预期降低，故而减少投资，导致泡沫破灭，直至恢复市场均衡。这样，从经济泡沫的兴起到破灭，实际上就是市场的一次自然调整过程。在现代市场经济条件下，经济基础动荡，则投资活动的调整总是在股票等虚拟资本市场上的泡沫被很快发现的情况下，通过市场的监督机制和调控体系来进行，因而不会对实体经济发生重大破坏性影响。第三，泡沫经济产生的直接根源在于实体经济本身。由于政府干预的失控，大量过剩资本随着资本市场的开放越过产业部门得以进入股票、外汇和房地产等市场，导致资本价格扭曲，在资本价格泡沫的诱导下，信用扩张加速了泡沫经济的形成。如在泰国，为了获得国内外低息贷款发展本国经济，推行金融自由化政策，开放资本市场，许多投资者借钱开发房地产，再以房地产为抵押进行更大规模的借贷开发，银行不惜在外汇市场上融资来扩大国内房地产商的信贷规模，结果房地产开发大大超过实际需要，形成典型的房地产泡沫。相似的例案也发生在日本，当实体经济的泡沫迅速膨胀以后，泡沫经济特征被展露出来。因此，对于资本输入国而言，加强金融监管，控制信贷资金和外资参与股票、外汇和房地产等资本交易，防止资本市场价格严重扭曲进而破坏实体经济是解决泡沫经济问题的一个重要举措。</w:t>
      </w:r>
    </w:p>
    <w:p w:rsidR="00481206" w:rsidRPr="00481206" w:rsidRDefault="00481206" w:rsidP="00481206">
      <w:pPr>
        <w:autoSpaceDE w:val="0"/>
        <w:autoSpaceDN w:val="0"/>
        <w:adjustRightInd w:val="0"/>
        <w:snapToGrid w:val="0"/>
        <w:spacing w:line="360" w:lineRule="auto"/>
        <w:ind w:firstLineChars="200" w:firstLine="482"/>
        <w:jc w:val="left"/>
        <w:rPr>
          <w:rFonts w:asciiTheme="minorEastAsia" w:hAnsiTheme="minorEastAsia" w:cs="宋体"/>
          <w:b/>
          <w:kern w:val="0"/>
          <w:sz w:val="24"/>
          <w:szCs w:val="24"/>
        </w:rPr>
      </w:pPr>
      <w:r w:rsidRPr="00481206">
        <w:rPr>
          <w:rFonts w:asciiTheme="minorEastAsia" w:hAnsiTheme="minorEastAsia" w:cs="宋体" w:hint="eastAsia"/>
          <w:b/>
          <w:kern w:val="0"/>
          <w:sz w:val="24"/>
          <w:szCs w:val="24"/>
        </w:rPr>
        <w:t>四、衍生市场与金融危机</w:t>
      </w:r>
    </w:p>
    <w:p w:rsidR="00481206" w:rsidRPr="00481206" w:rsidRDefault="00481206" w:rsidP="00481206">
      <w:pPr>
        <w:autoSpaceDE w:val="0"/>
        <w:autoSpaceDN w:val="0"/>
        <w:adjustRightInd w:val="0"/>
        <w:snapToGrid w:val="0"/>
        <w:spacing w:line="360" w:lineRule="auto"/>
        <w:ind w:firstLineChars="200" w:firstLine="480"/>
        <w:jc w:val="left"/>
        <w:rPr>
          <w:rFonts w:asciiTheme="minorEastAsia" w:hAnsiTheme="minorEastAsia" w:cs="宋体"/>
          <w:kern w:val="0"/>
          <w:sz w:val="24"/>
          <w:szCs w:val="24"/>
        </w:rPr>
      </w:pPr>
      <w:r w:rsidRPr="00481206">
        <w:rPr>
          <w:rFonts w:asciiTheme="minorEastAsia" w:hAnsiTheme="minorEastAsia" w:cs="宋体" w:hint="eastAsia"/>
          <w:kern w:val="0"/>
          <w:sz w:val="24"/>
          <w:szCs w:val="24"/>
        </w:rPr>
        <w:t>进入</w:t>
      </w:r>
      <w:r w:rsidRPr="00481206">
        <w:rPr>
          <w:rFonts w:asciiTheme="minorEastAsia" w:hAnsiTheme="minorEastAsia" w:cs="ZFPCdH-51" w:hint="eastAsia"/>
          <w:kern w:val="0"/>
          <w:sz w:val="24"/>
          <w:szCs w:val="24"/>
        </w:rPr>
        <w:t>20</w:t>
      </w:r>
      <w:r w:rsidRPr="00481206">
        <w:rPr>
          <w:rFonts w:asciiTheme="minorEastAsia" w:hAnsiTheme="minorEastAsia" w:cs="宋体" w:hint="eastAsia"/>
          <w:kern w:val="0"/>
          <w:sz w:val="24"/>
          <w:szCs w:val="24"/>
        </w:rPr>
        <w:t>世纪90年代以来，以美国为基地的形形色色的投机基金利用金融机构借给他们的巨额贷款炒作许多国家和地区的货币。据统计，这些国际投机基金高达</w:t>
      </w:r>
      <w:r w:rsidRPr="00481206">
        <w:rPr>
          <w:rFonts w:asciiTheme="minorEastAsia" w:hAnsiTheme="minorEastAsia" w:cs="ZFPCdH-51" w:hint="eastAsia"/>
          <w:kern w:val="0"/>
          <w:sz w:val="24"/>
          <w:szCs w:val="24"/>
        </w:rPr>
        <w:t>7</w:t>
      </w:r>
      <w:r w:rsidRPr="00481206">
        <w:rPr>
          <w:rFonts w:asciiTheme="minorEastAsia" w:hAnsiTheme="minorEastAsia" w:cs="宋体" w:hint="eastAsia"/>
          <w:kern w:val="0"/>
          <w:sz w:val="24"/>
          <w:szCs w:val="24"/>
        </w:rPr>
        <w:t>万亿美元，它们四处流窜：</w:t>
      </w:r>
      <w:r w:rsidRPr="00481206">
        <w:rPr>
          <w:rFonts w:asciiTheme="minorEastAsia" w:hAnsiTheme="minorEastAsia" w:cs="ZFPCdH-51" w:hint="eastAsia"/>
          <w:kern w:val="0"/>
          <w:sz w:val="24"/>
          <w:szCs w:val="24"/>
        </w:rPr>
        <w:t>1993</w:t>
      </w:r>
      <w:r w:rsidRPr="00481206">
        <w:rPr>
          <w:rFonts w:asciiTheme="minorEastAsia" w:hAnsiTheme="minorEastAsia" w:cs="宋体" w:hint="eastAsia"/>
          <w:kern w:val="0"/>
          <w:sz w:val="24"/>
          <w:szCs w:val="24"/>
        </w:rPr>
        <w:t>年冲击英镑，迫使英镑退出欧洲汇率机制；</w:t>
      </w:r>
      <w:r w:rsidRPr="00481206">
        <w:rPr>
          <w:rFonts w:asciiTheme="minorEastAsia" w:hAnsiTheme="minorEastAsia" w:cs="ZFPCdH-51" w:hint="eastAsia"/>
          <w:kern w:val="0"/>
          <w:sz w:val="24"/>
          <w:szCs w:val="24"/>
        </w:rPr>
        <w:t>1994</w:t>
      </w:r>
      <w:r w:rsidRPr="00481206">
        <w:rPr>
          <w:rFonts w:asciiTheme="minorEastAsia" w:hAnsiTheme="minorEastAsia" w:cs="宋体" w:hint="eastAsia"/>
          <w:kern w:val="0"/>
          <w:sz w:val="24"/>
          <w:szCs w:val="24"/>
        </w:rPr>
        <w:t>年冲击墨西哥，引发墨西哥金融危机；</w:t>
      </w:r>
      <w:r w:rsidRPr="00481206">
        <w:rPr>
          <w:rFonts w:asciiTheme="minorEastAsia" w:hAnsiTheme="minorEastAsia" w:cs="ZFPCdH-51" w:hint="eastAsia"/>
          <w:kern w:val="0"/>
          <w:sz w:val="24"/>
          <w:szCs w:val="24"/>
        </w:rPr>
        <w:t>1997</w:t>
      </w:r>
      <w:r w:rsidRPr="00481206">
        <w:rPr>
          <w:rFonts w:asciiTheme="minorEastAsia" w:hAnsiTheme="minorEastAsia" w:cs="宋体" w:hint="eastAsia"/>
          <w:kern w:val="0"/>
          <w:sz w:val="24"/>
          <w:szCs w:val="24"/>
        </w:rPr>
        <w:t>年冲击东南亚国家，致使东盟国家陷入金融危机；</w:t>
      </w:r>
      <w:r w:rsidRPr="00481206">
        <w:rPr>
          <w:rFonts w:asciiTheme="minorEastAsia" w:hAnsiTheme="minorEastAsia" w:cs="ZFPCdH-51" w:hint="eastAsia"/>
          <w:kern w:val="0"/>
          <w:sz w:val="24"/>
          <w:szCs w:val="24"/>
        </w:rPr>
        <w:t>1998</w:t>
      </w:r>
      <w:r w:rsidRPr="00481206">
        <w:rPr>
          <w:rFonts w:asciiTheme="minorEastAsia" w:hAnsiTheme="minorEastAsia" w:cs="宋体" w:hint="eastAsia"/>
          <w:kern w:val="0"/>
          <w:sz w:val="24"/>
          <w:szCs w:val="24"/>
        </w:rPr>
        <w:t>年冲击俄罗斯，引起了俄罗斯两次严重的金融危机，进而演变为俄罗斯的政治危机。国际投机者的冲击手法复杂高超，在货币市场、外汇市场、股票市场、衍生工具市场声东击西，连环出击，并屡屡得手，收益颇丰。分析各国爆发金融危机的动因，有三种观点，一是认为危机的发生应归罪于以索罗斯为代表的国际投机家，是他们兴风作浪炒作出来的；二是认为危机是冷战结束后世界经济格局重新分化组合中必然出现的一种调整；三是认为这些国家内在的经济结构存在缺陷。诚然，发生金融危机是多种因素综合起作用的结果，但在各种因素中，应有主次之分。经济全球化的高速发展，使任何国家都无法逃避</w:t>
      </w:r>
      <w:r w:rsidRPr="00481206">
        <w:rPr>
          <w:rFonts w:asciiTheme="minorEastAsia" w:hAnsiTheme="minorEastAsia" w:cs="宋体" w:hint="eastAsia"/>
          <w:kern w:val="0"/>
          <w:sz w:val="24"/>
          <w:szCs w:val="24"/>
        </w:rPr>
        <w:lastRenderedPageBreak/>
        <w:t>国际货币资本流动的影响和作用，它既可以满足各国对货币资本的需求，又会冲击经济的正常运行。如果一国经济本身运行正常，国际货币资本的流动也包括其中的各种投机行为，是不会对其经济产生恶劣影响，更不会诱发危机。只有当一国经济本身的运行发生严重问题，这种流动和投机才会带来严重的危害。索罗斯曾说“在市场中存在投机的空间是政府的过错”。因此这些国家本身经济结构存在问题使投机者有可乘之机才是危机发生的主要症结所在。这可以从几方面来看：第一，国际炒家之所以狙击东南亚各国，主要是看到东南亚各国和地区前些年经济高速增长时期形成的泡沫经济正在破灭，资本市场价格和房地产价格下跌，经济疲软，难以维持固定的汇率，从而孕育了金融危机的发生。如泰国金融危机实际上是汽车、房地产和股市泡沫破灭的结果，而新加坡、台湾则由于实体经济发展强劲，经济泡沫成分少而受影响较少。第二，东盟国家的产业结构未能随着世界经济的发展和信息社会的到来而及时地加以调整，大量流入的外资，再也无法对现有的产业扩大投资，只好投入到虚拟经济领域，致使虚拟经济规模越来越大，越来越脱离实际部门的发展，从而导致整个国民经济的结构失衡，并很快使这些国家陷入经济困境。第三，金融自由化步子过快，金融监管滞后，为投机资本的入侵大开方便之门。当国内利率高于国际利率时，诱使外资大量流入，而又缺乏适宜的引导流向机制，这不仅加速了泡沫经济的形成和发展，也加大了流动性风险。</w:t>
      </w:r>
    </w:p>
    <w:p w:rsidR="00481206" w:rsidRPr="00481206" w:rsidRDefault="00481206" w:rsidP="00481206">
      <w:pPr>
        <w:pStyle w:val="3"/>
        <w:spacing w:before="0" w:after="0" w:line="360" w:lineRule="auto"/>
        <w:rPr>
          <w:rFonts w:ascii="宋体" w:hAnsi="宋体" w:cs="宋体"/>
          <w:sz w:val="28"/>
          <w:szCs w:val="28"/>
        </w:rPr>
      </w:pPr>
      <w:bookmarkStart w:id="40" w:name="_Toc474271564"/>
      <w:r w:rsidRPr="00481206">
        <w:rPr>
          <w:rFonts w:ascii="宋体" w:hAnsi="宋体" w:cs="宋体" w:hint="eastAsia"/>
          <w:sz w:val="28"/>
          <w:szCs w:val="28"/>
        </w:rPr>
        <w:t>2.6</w:t>
      </w:r>
      <w:r w:rsidRPr="00481206">
        <w:rPr>
          <w:rFonts w:hint="eastAsia"/>
          <w:sz w:val="28"/>
          <w:szCs w:val="28"/>
        </w:rPr>
        <w:t>课程内容可能涉及到的伦理与道德问题</w:t>
      </w:r>
      <w:bookmarkEnd w:id="40"/>
    </w:p>
    <w:p w:rsidR="00481206" w:rsidRPr="00481206" w:rsidRDefault="00481206" w:rsidP="00481206">
      <w:pPr>
        <w:autoSpaceDE w:val="0"/>
        <w:autoSpaceDN w:val="0"/>
        <w:adjustRightInd w:val="0"/>
        <w:snapToGrid w:val="0"/>
        <w:spacing w:line="360" w:lineRule="auto"/>
        <w:ind w:firstLineChars="200" w:firstLine="480"/>
        <w:jc w:val="left"/>
        <w:rPr>
          <w:rFonts w:asciiTheme="minorEastAsia" w:hAnsiTheme="minorEastAsia" w:cs="ZLCG6D-2"/>
          <w:kern w:val="0"/>
          <w:sz w:val="24"/>
          <w:szCs w:val="24"/>
        </w:rPr>
      </w:pPr>
      <w:r w:rsidRPr="00481206">
        <w:rPr>
          <w:rFonts w:asciiTheme="minorEastAsia" w:hAnsiTheme="minorEastAsia" w:cs="方正报宋_GBK" w:hint="eastAsia"/>
          <w:kern w:val="0"/>
          <w:sz w:val="24"/>
          <w:szCs w:val="24"/>
        </w:rPr>
        <w:t>诚信原则是市场交易的最基本原则，这一原则是由金融市场交易特点所决定的</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由于信息不对称的现象在市场交易中广泛存在，同时市场效率越低下，信息的不对称就越严重，因此信息的优势者如果为了谋取私利发生各种不诚信的行为，则信息劣势者的利益必然会受到损害，而这种不诚信的行为在中国证券市场上屡屡发生</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例如</w:t>
      </w:r>
      <w:r w:rsidRPr="00481206">
        <w:rPr>
          <w:rFonts w:asciiTheme="minorEastAsia" w:hAnsiTheme="minorEastAsia" w:cs="方正报宋_GBK"/>
          <w:kern w:val="0"/>
          <w:sz w:val="24"/>
          <w:szCs w:val="24"/>
        </w:rPr>
        <w:t xml:space="preserve">2011 </w:t>
      </w:r>
      <w:r w:rsidRPr="00481206">
        <w:rPr>
          <w:rFonts w:asciiTheme="minorEastAsia" w:hAnsiTheme="minorEastAsia" w:cs="方正报宋_GBK" w:hint="eastAsia"/>
          <w:kern w:val="0"/>
          <w:sz w:val="24"/>
          <w:szCs w:val="24"/>
        </w:rPr>
        <w:t>年财政部发布的</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会计信息质量检查公告</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中显示，部分上市公司在</w:t>
      </w:r>
      <w:r w:rsidRPr="00481206">
        <w:rPr>
          <w:rFonts w:asciiTheme="minorEastAsia" w:hAnsiTheme="minorEastAsia" w:cs="方正报宋_GBK"/>
          <w:kern w:val="0"/>
          <w:sz w:val="24"/>
          <w:szCs w:val="24"/>
        </w:rPr>
        <w:t xml:space="preserve">2010 </w:t>
      </w:r>
      <w:r w:rsidRPr="00481206">
        <w:rPr>
          <w:rFonts w:asciiTheme="minorEastAsia" w:hAnsiTheme="minorEastAsia" w:cs="方正报宋_GBK" w:hint="eastAsia"/>
          <w:kern w:val="0"/>
          <w:sz w:val="24"/>
          <w:szCs w:val="24"/>
        </w:rPr>
        <w:t>年未有效执行会计准则</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信息披露不充分以及违规使用募集资金，被通报批评</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例如湖南天润化工存在会计凭证缺失</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账实不符等问题，虚构销售收入</w:t>
      </w:r>
      <w:r w:rsidRPr="00481206">
        <w:rPr>
          <w:rFonts w:asciiTheme="minorEastAsia" w:hAnsiTheme="minorEastAsia" w:cs="方正报宋_GBK"/>
          <w:kern w:val="0"/>
          <w:sz w:val="24"/>
          <w:szCs w:val="24"/>
        </w:rPr>
        <w:t xml:space="preserve">8131 </w:t>
      </w:r>
      <w:r w:rsidRPr="00481206">
        <w:rPr>
          <w:rFonts w:asciiTheme="minorEastAsia" w:hAnsiTheme="minorEastAsia" w:cs="方正报宋_GBK" w:hint="eastAsia"/>
          <w:kern w:val="0"/>
          <w:sz w:val="24"/>
          <w:szCs w:val="24"/>
        </w:rPr>
        <w:t>万元，其下属企业将货款</w:t>
      </w:r>
      <w:r w:rsidRPr="00481206">
        <w:rPr>
          <w:rFonts w:asciiTheme="minorEastAsia" w:hAnsiTheme="minorEastAsia" w:cs="方正报宋_GBK"/>
          <w:kern w:val="0"/>
          <w:sz w:val="24"/>
          <w:szCs w:val="24"/>
        </w:rPr>
        <w:t xml:space="preserve">6439 </w:t>
      </w:r>
      <w:r w:rsidRPr="00481206">
        <w:rPr>
          <w:rFonts w:asciiTheme="minorEastAsia" w:hAnsiTheme="minorEastAsia" w:cs="方正报宋_GBK" w:hint="eastAsia"/>
          <w:kern w:val="0"/>
          <w:sz w:val="24"/>
          <w:szCs w:val="24"/>
        </w:rPr>
        <w:t>万元存入员工个人存折；贵州益佰制药无依据预提产品监测费</w:t>
      </w:r>
      <w:r w:rsidRPr="00481206">
        <w:rPr>
          <w:rFonts w:asciiTheme="minorEastAsia" w:hAnsiTheme="minorEastAsia" w:cs="方正报宋_GBK"/>
          <w:kern w:val="0"/>
          <w:sz w:val="24"/>
          <w:szCs w:val="24"/>
        </w:rPr>
        <w:t xml:space="preserve">8481 </w:t>
      </w:r>
      <w:r w:rsidRPr="00481206">
        <w:rPr>
          <w:rFonts w:asciiTheme="minorEastAsia" w:hAnsiTheme="minorEastAsia" w:cs="方正报宋_GBK" w:hint="eastAsia"/>
          <w:kern w:val="0"/>
          <w:sz w:val="24"/>
          <w:szCs w:val="24"/>
        </w:rPr>
        <w:t>万元，并从中违规列支市场费用等；河南天方药业在无真实交易的情况下，开具银行承兑汇票</w:t>
      </w:r>
      <w:r w:rsidRPr="00481206">
        <w:rPr>
          <w:rFonts w:asciiTheme="minorEastAsia" w:hAnsiTheme="minorEastAsia" w:cs="方正报宋_GBK"/>
          <w:kern w:val="0"/>
          <w:sz w:val="24"/>
          <w:szCs w:val="24"/>
        </w:rPr>
        <w:t xml:space="preserve">9.35 </w:t>
      </w:r>
      <w:r w:rsidRPr="00481206">
        <w:rPr>
          <w:rFonts w:asciiTheme="minorEastAsia" w:hAnsiTheme="minorEastAsia" w:cs="方正报宋_GBK" w:hint="eastAsia"/>
          <w:kern w:val="0"/>
          <w:sz w:val="24"/>
          <w:szCs w:val="24"/>
        </w:rPr>
        <w:t>亿元；南京栖霞建设募集资金</w:t>
      </w:r>
      <w:r w:rsidRPr="00481206">
        <w:rPr>
          <w:rFonts w:asciiTheme="minorEastAsia" w:hAnsiTheme="minorEastAsia" w:cs="方正报宋_GBK"/>
          <w:kern w:val="0"/>
          <w:sz w:val="24"/>
          <w:szCs w:val="24"/>
        </w:rPr>
        <w:t xml:space="preserve">3 </w:t>
      </w:r>
      <w:r w:rsidRPr="00481206">
        <w:rPr>
          <w:rFonts w:asciiTheme="minorEastAsia" w:hAnsiTheme="minorEastAsia" w:cs="方正报宋_GBK" w:hint="eastAsia"/>
          <w:kern w:val="0"/>
          <w:sz w:val="24"/>
          <w:szCs w:val="24"/>
        </w:rPr>
        <w:t>亿元，实际使用情况和报告披露使用情况存在不一致，也未按规定专户存储；深圳一致药业对关联方交易和余额</w:t>
      </w:r>
      <w:r w:rsidRPr="00481206">
        <w:rPr>
          <w:rFonts w:asciiTheme="minorEastAsia" w:hAnsiTheme="minorEastAsia" w:cs="方正报宋_GBK"/>
          <w:kern w:val="0"/>
          <w:sz w:val="24"/>
          <w:szCs w:val="24"/>
        </w:rPr>
        <w:t xml:space="preserve">1.09 </w:t>
      </w:r>
      <w:r w:rsidRPr="00481206">
        <w:rPr>
          <w:rFonts w:asciiTheme="minorEastAsia" w:hAnsiTheme="minorEastAsia" w:cs="方正报宋_GBK" w:hint="eastAsia"/>
          <w:kern w:val="0"/>
          <w:sz w:val="24"/>
          <w:szCs w:val="24"/>
        </w:rPr>
        <w:t>亿元披露不实未披露对关联方</w:t>
      </w:r>
      <w:r w:rsidRPr="00481206">
        <w:rPr>
          <w:rFonts w:asciiTheme="minorEastAsia" w:hAnsiTheme="minorEastAsia" w:cs="方正报宋_GBK"/>
          <w:kern w:val="0"/>
          <w:sz w:val="24"/>
          <w:szCs w:val="24"/>
        </w:rPr>
        <w:t xml:space="preserve">1.5 </w:t>
      </w:r>
      <w:r w:rsidRPr="00481206">
        <w:rPr>
          <w:rFonts w:asciiTheme="minorEastAsia" w:hAnsiTheme="minorEastAsia" w:cs="方正报宋_GBK" w:hint="eastAsia"/>
          <w:kern w:val="0"/>
          <w:sz w:val="24"/>
          <w:szCs w:val="24"/>
        </w:rPr>
        <w:t>亿元授信合同担保事项等</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这些上市公司存在的问题被曝光，人们在震惊的同时，</w:t>
      </w:r>
      <w:r w:rsidRPr="00481206">
        <w:rPr>
          <w:rFonts w:asciiTheme="minorEastAsia" w:hAnsiTheme="minorEastAsia" w:cs="方正报宋_GBK" w:hint="eastAsia"/>
          <w:kern w:val="0"/>
          <w:sz w:val="24"/>
          <w:szCs w:val="24"/>
        </w:rPr>
        <w:lastRenderedPageBreak/>
        <w:t>也不禁会感叹当前金融市场诚信缺失现象的严重性</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但是如果一个金融市场连基本的诚信都无法做到，处处是欺诈，连那些获利者都无法获取长期利益，那些利益受损者在市场上就更没有生存的空间，这种极不健康的市场状况必定会影响到其长远发展</w:t>
      </w:r>
      <w:r w:rsidRPr="00481206">
        <w:rPr>
          <w:rFonts w:asciiTheme="minorEastAsia" w:hAnsiTheme="minorEastAsia" w:cs="宋体" w:hint="eastAsia"/>
          <w:kern w:val="0"/>
          <w:sz w:val="24"/>
          <w:szCs w:val="24"/>
        </w:rPr>
        <w:t>。</w:t>
      </w:r>
    </w:p>
    <w:p w:rsidR="00481206" w:rsidRPr="00481206" w:rsidRDefault="00481206" w:rsidP="00481206">
      <w:pPr>
        <w:autoSpaceDE w:val="0"/>
        <w:autoSpaceDN w:val="0"/>
        <w:adjustRightInd w:val="0"/>
        <w:snapToGrid w:val="0"/>
        <w:spacing w:line="360" w:lineRule="auto"/>
        <w:ind w:firstLineChars="200" w:firstLine="480"/>
        <w:jc w:val="left"/>
        <w:rPr>
          <w:rFonts w:asciiTheme="minorEastAsia" w:hAnsiTheme="minorEastAsia" w:cs="宋体"/>
          <w:kern w:val="0"/>
          <w:sz w:val="24"/>
          <w:szCs w:val="24"/>
        </w:rPr>
      </w:pPr>
      <w:r w:rsidRPr="00481206">
        <w:rPr>
          <w:rFonts w:asciiTheme="minorEastAsia" w:hAnsiTheme="minorEastAsia" w:cs="方正报宋_GBK" w:hint="eastAsia"/>
          <w:kern w:val="0"/>
          <w:sz w:val="24"/>
          <w:szCs w:val="24"/>
        </w:rPr>
        <w:t>金融伦理在强调诚实守信的基本前提下，要求建立公开</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公平和公正的市场竞争环境</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但是从金融市场的现实状况来看，</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三公</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原则被践踏的事件屡屡发生</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例如发生在</w:t>
      </w:r>
      <w:r w:rsidRPr="00481206">
        <w:rPr>
          <w:rFonts w:asciiTheme="minorEastAsia" w:hAnsiTheme="minorEastAsia" w:cs="方正报宋_GBK"/>
          <w:kern w:val="0"/>
          <w:sz w:val="24"/>
          <w:szCs w:val="24"/>
        </w:rPr>
        <w:t xml:space="preserve">2013 </w:t>
      </w:r>
      <w:r w:rsidRPr="00481206">
        <w:rPr>
          <w:rFonts w:asciiTheme="minorEastAsia" w:hAnsiTheme="minorEastAsia" w:cs="方正报宋_GBK" w:hint="eastAsia"/>
          <w:kern w:val="0"/>
          <w:sz w:val="24"/>
          <w:szCs w:val="24"/>
        </w:rPr>
        <w:t>年</w:t>
      </w:r>
      <w:r w:rsidRPr="00481206">
        <w:rPr>
          <w:rFonts w:asciiTheme="minorEastAsia" w:hAnsiTheme="minorEastAsia" w:cs="方正报宋_GBK"/>
          <w:kern w:val="0"/>
          <w:sz w:val="24"/>
          <w:szCs w:val="24"/>
        </w:rPr>
        <w:t>8</w:t>
      </w:r>
      <w:r w:rsidRPr="00481206">
        <w:rPr>
          <w:rFonts w:asciiTheme="minorEastAsia" w:hAnsiTheme="minorEastAsia" w:cs="方正报宋_GBK" w:hint="eastAsia"/>
          <w:kern w:val="0"/>
          <w:sz w:val="24"/>
          <w:szCs w:val="24"/>
        </w:rPr>
        <w:t>月</w:t>
      </w:r>
      <w:r w:rsidRPr="00481206">
        <w:rPr>
          <w:rFonts w:asciiTheme="minorEastAsia" w:hAnsiTheme="minorEastAsia" w:cs="方正报宋_GBK"/>
          <w:kern w:val="0"/>
          <w:sz w:val="24"/>
          <w:szCs w:val="24"/>
        </w:rPr>
        <w:t xml:space="preserve">16 </w:t>
      </w:r>
      <w:r w:rsidRPr="00481206">
        <w:rPr>
          <w:rFonts w:asciiTheme="minorEastAsia" w:hAnsiTheme="minorEastAsia" w:cs="方正报宋_GBK" w:hint="eastAsia"/>
          <w:kern w:val="0"/>
          <w:sz w:val="24"/>
          <w:szCs w:val="24"/>
        </w:rPr>
        <w:t>日的光大证券乌龙指事件，虽然在事件之初被指是策略投资部门自营业务在使用其独立的套利系统时出现问题，但事后经过调查发现，该事件中存在内幕交易，证监会对光大乌龙指事件的四位相关决策责任人徐浩明</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杨赤忠</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沈诗光</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杨剑波处以终身证券市场禁入，并没收光大证券非法所得</w:t>
      </w:r>
      <w:r w:rsidRPr="00481206">
        <w:rPr>
          <w:rFonts w:asciiTheme="minorEastAsia" w:hAnsiTheme="minorEastAsia" w:cs="方正报宋_GBK"/>
          <w:kern w:val="0"/>
          <w:sz w:val="24"/>
          <w:szCs w:val="24"/>
        </w:rPr>
        <w:t xml:space="preserve">8721 </w:t>
      </w:r>
      <w:r w:rsidRPr="00481206">
        <w:rPr>
          <w:rFonts w:asciiTheme="minorEastAsia" w:hAnsiTheme="minorEastAsia" w:cs="方正报宋_GBK" w:hint="eastAsia"/>
          <w:kern w:val="0"/>
          <w:sz w:val="24"/>
          <w:szCs w:val="24"/>
        </w:rPr>
        <w:t>万元，处以</w:t>
      </w:r>
      <w:r w:rsidRPr="00481206">
        <w:rPr>
          <w:rFonts w:asciiTheme="minorEastAsia" w:hAnsiTheme="minorEastAsia" w:cs="方正报宋_GBK"/>
          <w:kern w:val="0"/>
          <w:sz w:val="24"/>
          <w:szCs w:val="24"/>
        </w:rPr>
        <w:t xml:space="preserve">5 </w:t>
      </w:r>
      <w:r w:rsidRPr="00481206">
        <w:rPr>
          <w:rFonts w:asciiTheme="minorEastAsia" w:hAnsiTheme="minorEastAsia" w:cs="方正报宋_GBK" w:hint="eastAsia"/>
          <w:kern w:val="0"/>
          <w:sz w:val="24"/>
          <w:szCs w:val="24"/>
        </w:rPr>
        <w:t>倍罚款，共计</w:t>
      </w:r>
      <w:r w:rsidRPr="00481206">
        <w:rPr>
          <w:rFonts w:asciiTheme="minorEastAsia" w:hAnsiTheme="minorEastAsia" w:cs="方正报宋_GBK"/>
          <w:kern w:val="0"/>
          <w:sz w:val="24"/>
          <w:szCs w:val="24"/>
        </w:rPr>
        <w:t xml:space="preserve">52328 </w:t>
      </w:r>
      <w:r w:rsidRPr="00481206">
        <w:rPr>
          <w:rFonts w:asciiTheme="minorEastAsia" w:hAnsiTheme="minorEastAsia" w:cs="方正报宋_GBK" w:hint="eastAsia"/>
          <w:kern w:val="0"/>
          <w:sz w:val="24"/>
          <w:szCs w:val="24"/>
        </w:rPr>
        <w:t>万元</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内幕交易是对公平交易原则的严重践踏，它造成了财富的严重倾斜，进一步拉大了贫富差距</w:t>
      </w:r>
      <w:r w:rsidRPr="00481206">
        <w:rPr>
          <w:rFonts w:asciiTheme="minorEastAsia" w:hAnsiTheme="minorEastAsia" w:cs="宋体" w:hint="eastAsia"/>
          <w:kern w:val="0"/>
          <w:sz w:val="24"/>
          <w:szCs w:val="24"/>
        </w:rPr>
        <w:t>。</w:t>
      </w:r>
    </w:p>
    <w:p w:rsidR="00481206" w:rsidRPr="00481206" w:rsidRDefault="00481206" w:rsidP="00481206">
      <w:pPr>
        <w:autoSpaceDE w:val="0"/>
        <w:autoSpaceDN w:val="0"/>
        <w:adjustRightInd w:val="0"/>
        <w:snapToGrid w:val="0"/>
        <w:spacing w:line="360" w:lineRule="auto"/>
        <w:ind w:firstLineChars="200" w:firstLine="480"/>
        <w:jc w:val="left"/>
        <w:rPr>
          <w:rFonts w:asciiTheme="minorEastAsia" w:hAnsiTheme="minorEastAsia" w:cs="ZLCG6D-2"/>
          <w:kern w:val="0"/>
          <w:sz w:val="24"/>
          <w:szCs w:val="24"/>
        </w:rPr>
      </w:pPr>
      <w:r w:rsidRPr="00481206">
        <w:rPr>
          <w:rFonts w:asciiTheme="minorEastAsia" w:hAnsiTheme="minorEastAsia" w:cs="方正报宋_GBK" w:hint="eastAsia"/>
          <w:kern w:val="0"/>
          <w:sz w:val="24"/>
          <w:szCs w:val="24"/>
        </w:rPr>
        <w:t>从业人员遵守职业道德操守本来是所有工作共同的要求，只不过金融机构工作的特殊性使得金融机构从业人员的职业操守备受关注，而频频曝光的从业人员利用职务之便，谋取个人私利，侵害客户利益的报道又将金融机构从业人员的职业道德问题推到了风口浪尖</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例如证券从业人员利用职务之便挪用客户股票</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保证金；或用单位资金炒作股票以及贪污</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受贿</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参与金融诈骗等；又或是银行从业人员将客户的私人重要信息倒卖，致使客户银行卡里面的资金被盗取而从中谋取不正当利益等</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从本质上来说，金融从业人员的职业道德问题属于金融伦理的范畴，正是这种职业道德意识淡漠，而</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谋利</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的意识过于强烈，才会使得这些从业人员前赴后继的置党纪国法和他人利益于不顾，铤而走险为谋利而走上犯罪的道路</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从金融市场伦理冲突的三种形式来看，它们是相互联系，相互影响的，诚信缺失必然会造成不公平的市场竞争环境，这种市场竞争环境又给了内幕信息优势者以可乘之机，从而使得他们能够披露虚假信息，进行内幕交易，进一步加剧了市场交易的不公平</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而从业人员职业道德水平滑坡必然使得他们缺乏基本的诚信意识，不道德的交易活动又对市场交易的不公正起到了推波助澜的作用</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一个优秀的人才应该是</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德才兼备</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的，其中</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德</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是指道德水平，</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才</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是指专业素养，从两者的关系来说，</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德</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与</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才</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缺一不可，</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有德无才</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在从事具体工作的过程中就很难做到得心应手；</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有才无德</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处处以自己谋私利作为行事的出发点，置基本的职业操守于不顾，那么这样的人不但做不好工作而且还可能因为利欲熏心误入歧途；同时</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德</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优先于</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才</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，一个具备良好职业道德素质的人，即使专业素养不够高他还可以通过在工作中边干边学来不断的积累和提高，而即使具备再高的专业水平，如果经不起利益的诱惑，</w:t>
      </w:r>
      <w:r w:rsidRPr="00481206">
        <w:rPr>
          <w:rFonts w:asciiTheme="minorEastAsia" w:hAnsiTheme="minorEastAsia" w:cs="方正报宋_GBK" w:hint="eastAsia"/>
          <w:kern w:val="0"/>
          <w:sz w:val="24"/>
          <w:szCs w:val="24"/>
        </w:rPr>
        <w:lastRenderedPageBreak/>
        <w:t>守不住自己的节操，专业水平越高危害性往往越大，这样的人是不能用也不敢用的</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职业道德的培养应该从大学阶段抓起，因为大学是学生正式进入社会的前哨，是人生观</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世界观不断形成和完善的阶段，如果在这个阶段对事物形成了正确的认识，走上工作岗位以后就不那么容易受到诱惑；相反，如果这个阶段的教育缺失，则错误的财富观可能会贻害终生</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因此，金融专业学生的道德教育除了接受马克思主义思想政治教育之外，还必须强化金融伦理教育</w:t>
      </w:r>
      <w:r w:rsidRPr="00481206">
        <w:rPr>
          <w:rFonts w:asciiTheme="minorEastAsia" w:hAnsiTheme="minorEastAsia" w:cs="宋体" w:hint="eastAsia"/>
          <w:kern w:val="0"/>
          <w:sz w:val="24"/>
          <w:szCs w:val="24"/>
        </w:rPr>
        <w:t>。</w:t>
      </w:r>
    </w:p>
    <w:p w:rsidR="00481206" w:rsidRPr="00481206" w:rsidRDefault="00481206" w:rsidP="00481206">
      <w:pPr>
        <w:autoSpaceDE w:val="0"/>
        <w:autoSpaceDN w:val="0"/>
        <w:adjustRightInd w:val="0"/>
        <w:snapToGrid w:val="0"/>
        <w:spacing w:line="360" w:lineRule="auto"/>
        <w:ind w:firstLineChars="200" w:firstLine="480"/>
        <w:jc w:val="left"/>
        <w:rPr>
          <w:rFonts w:asciiTheme="minorEastAsia" w:hAnsiTheme="minorEastAsia" w:cs="ZLCG6D-2"/>
          <w:kern w:val="0"/>
          <w:sz w:val="24"/>
          <w:szCs w:val="24"/>
        </w:rPr>
      </w:pPr>
      <w:r w:rsidRPr="00481206">
        <w:rPr>
          <w:rFonts w:asciiTheme="minorEastAsia" w:hAnsiTheme="minorEastAsia" w:cs="方正报宋_GBK" w:hint="eastAsia"/>
          <w:kern w:val="0"/>
          <w:sz w:val="24"/>
          <w:szCs w:val="24"/>
        </w:rPr>
        <w:t>改革开放以来，中国金融业迅猛发展，金融机构不断建立，金融市场不断完善</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但与此同时各种不良现象频繁出现，不论是上市公司的不诚信行为还是证券公司的不公平交易，或是银行工作人员对储户利益的侵害，如此种种的现象层出不穷</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在这种情况下，如何使学生以理性的眼光审视金融活动，认识到金融丑闻和金融动荡并不单纯是金融领域的纯技术性问题，它们直接涉及金融活动中的伦理因素；如何使学生对于这些金融犯罪活动形成正确的认识并从中吸取一些对于今后工作有益的教训</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因此，金融活动中的种种伦理冲突也催生了强化对金融专业学生进行金融伦理教育的必要性</w:t>
      </w:r>
      <w:r w:rsidRPr="00481206">
        <w:rPr>
          <w:rFonts w:asciiTheme="minorEastAsia" w:hAnsiTheme="minorEastAsia" w:cs="宋体" w:hint="eastAsia"/>
          <w:kern w:val="0"/>
          <w:sz w:val="24"/>
          <w:szCs w:val="24"/>
        </w:rPr>
        <w:t>。</w:t>
      </w:r>
    </w:p>
    <w:p w:rsidR="00481206" w:rsidRPr="00481206" w:rsidRDefault="00481206" w:rsidP="00481206">
      <w:pPr>
        <w:autoSpaceDE w:val="0"/>
        <w:autoSpaceDN w:val="0"/>
        <w:adjustRightInd w:val="0"/>
        <w:snapToGrid w:val="0"/>
        <w:spacing w:line="360" w:lineRule="auto"/>
        <w:ind w:firstLineChars="200" w:firstLine="480"/>
        <w:jc w:val="left"/>
        <w:rPr>
          <w:rFonts w:asciiTheme="minorEastAsia" w:hAnsiTheme="minorEastAsia" w:cs="ZLCG6D-2"/>
          <w:kern w:val="0"/>
          <w:sz w:val="24"/>
          <w:szCs w:val="24"/>
        </w:rPr>
      </w:pPr>
      <w:r w:rsidRPr="00481206">
        <w:rPr>
          <w:rFonts w:asciiTheme="minorEastAsia" w:hAnsiTheme="minorEastAsia" w:cs="方正报宋_GBK" w:hint="eastAsia"/>
          <w:kern w:val="0"/>
          <w:sz w:val="24"/>
          <w:szCs w:val="24"/>
        </w:rPr>
        <w:t>古典经济学家以</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利己</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作为立论的基础，他们认为人在</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利己</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本性的驱使下从事经济活动，以个人利益的最大化作为行事的准则</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这种思想本身并没有错误，我们社会主义国家也鼓励人民追求自我的利益，但是问题在于这种追求必须是</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君子爱财，取之有道</w:t>
      </w:r>
      <w:r w:rsidRPr="00481206">
        <w:rPr>
          <w:rFonts w:asciiTheme="minorEastAsia" w:hAnsiTheme="minorEastAsia" w:cs="ZLCG6D-2"/>
          <w:kern w:val="0"/>
          <w:sz w:val="24"/>
          <w:szCs w:val="24"/>
        </w:rPr>
        <w:t>”</w:t>
      </w:r>
      <w:r w:rsidRPr="00481206">
        <w:rPr>
          <w:rFonts w:asciiTheme="minorEastAsia" w:hAnsiTheme="minorEastAsia" w:cs="方正报宋_GBK" w:hint="eastAsia"/>
          <w:kern w:val="0"/>
          <w:sz w:val="24"/>
          <w:szCs w:val="24"/>
        </w:rPr>
        <w:t>，应该是在法律和道德框架下合情合理的利益追求</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但现实经济生活中，的确对违法犯罪行为存在着认识上的误区，当我们的学生在这种有偏差的认识指引下，在金融这一特殊行业从业时，就很容易犯错误甚至造成无法挽回的损失</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因此，通过在大学阶段对他们进行金融伦理教育，使他们形成正确的财富观</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价值观，以一种平常的心态看待财富，通过勤勤恳恳</w:t>
      </w:r>
      <w:r w:rsidRPr="00481206">
        <w:rPr>
          <w:rFonts w:asciiTheme="minorEastAsia" w:hAnsiTheme="minorEastAsia" w:cs="宋体" w:hint="eastAsia"/>
          <w:kern w:val="0"/>
          <w:sz w:val="24"/>
          <w:szCs w:val="24"/>
        </w:rPr>
        <w:t>、</w:t>
      </w:r>
      <w:r w:rsidRPr="00481206">
        <w:rPr>
          <w:rFonts w:asciiTheme="minorEastAsia" w:hAnsiTheme="minorEastAsia" w:cs="方正报宋_GBK" w:hint="eastAsia"/>
          <w:kern w:val="0"/>
          <w:sz w:val="24"/>
          <w:szCs w:val="24"/>
        </w:rPr>
        <w:t>脚踏实地的工作来实现自我的价值</w:t>
      </w:r>
      <w:r w:rsidRPr="00481206">
        <w:rPr>
          <w:rFonts w:asciiTheme="minorEastAsia" w:hAnsiTheme="minorEastAsia" w:cs="宋体" w:hint="eastAsia"/>
          <w:kern w:val="0"/>
          <w:sz w:val="24"/>
          <w:szCs w:val="24"/>
        </w:rPr>
        <w:t>。</w:t>
      </w:r>
    </w:p>
    <w:p w:rsidR="00481206" w:rsidRPr="00481206" w:rsidRDefault="00481206" w:rsidP="00481206">
      <w:pPr>
        <w:autoSpaceDE w:val="0"/>
        <w:autoSpaceDN w:val="0"/>
        <w:adjustRightInd w:val="0"/>
        <w:snapToGrid w:val="0"/>
        <w:spacing w:line="360" w:lineRule="auto"/>
        <w:ind w:firstLineChars="200" w:firstLine="480"/>
        <w:jc w:val="left"/>
        <w:rPr>
          <w:rFonts w:asciiTheme="minorEastAsia" w:hAnsiTheme="minorEastAsia" w:cs="ZHAGIF-5"/>
          <w:kern w:val="0"/>
          <w:sz w:val="24"/>
          <w:szCs w:val="24"/>
        </w:rPr>
      </w:pPr>
      <w:r w:rsidRPr="00481206">
        <w:rPr>
          <w:rFonts w:asciiTheme="minorEastAsia" w:hAnsiTheme="minorEastAsia" w:cs="方正书宋_GBK" w:hint="eastAsia"/>
          <w:kern w:val="0"/>
          <w:sz w:val="24"/>
          <w:szCs w:val="24"/>
        </w:rPr>
        <w:t>长期以来，金融秉承</w:t>
      </w:r>
      <w:r w:rsidRPr="00481206">
        <w:rPr>
          <w:rFonts w:asciiTheme="minorEastAsia" w:hAnsiTheme="minorEastAsia" w:cs="ZHAGIF-5"/>
          <w:kern w:val="0"/>
          <w:sz w:val="24"/>
          <w:szCs w:val="24"/>
        </w:rPr>
        <w:t xml:space="preserve">“ </w:t>
      </w:r>
      <w:r w:rsidRPr="00481206">
        <w:rPr>
          <w:rFonts w:asciiTheme="minorEastAsia" w:hAnsiTheme="minorEastAsia" w:cs="方正书宋_GBK" w:hint="eastAsia"/>
          <w:kern w:val="0"/>
          <w:sz w:val="24"/>
          <w:szCs w:val="24"/>
        </w:rPr>
        <w:t>经济人</w:t>
      </w:r>
      <w:r w:rsidRPr="00481206">
        <w:rPr>
          <w:rFonts w:asciiTheme="minorEastAsia" w:hAnsiTheme="minorEastAsia" w:cs="ZHAGIF-5"/>
          <w:kern w:val="0"/>
          <w:sz w:val="24"/>
          <w:szCs w:val="24"/>
        </w:rPr>
        <w:t>”</w:t>
      </w:r>
      <w:r w:rsidRPr="00481206">
        <w:rPr>
          <w:rFonts w:asciiTheme="minorEastAsia" w:hAnsiTheme="minorEastAsia" w:cs="方正书宋_GBK" w:hint="eastAsia"/>
          <w:kern w:val="0"/>
          <w:sz w:val="24"/>
          <w:szCs w:val="24"/>
        </w:rPr>
        <w:t>的假设，在既定的资本约束下，以追求收益最大化和风险最小化为己任，目标非常明确</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在金融学的研究领域，学者们也是习惯运用经验数据对客观事实进行实证研究，将其作为一门客观科学，告诉人们</w:t>
      </w:r>
      <w:r w:rsidRPr="00481206">
        <w:rPr>
          <w:rFonts w:asciiTheme="minorEastAsia" w:hAnsiTheme="minorEastAsia" w:cs="ZHAGIF-5"/>
          <w:kern w:val="0"/>
          <w:sz w:val="24"/>
          <w:szCs w:val="24"/>
        </w:rPr>
        <w:t xml:space="preserve">“ </w:t>
      </w:r>
      <w:r w:rsidRPr="00481206">
        <w:rPr>
          <w:rFonts w:asciiTheme="minorEastAsia" w:hAnsiTheme="minorEastAsia" w:cs="方正书宋_GBK" w:hint="eastAsia"/>
          <w:kern w:val="0"/>
          <w:sz w:val="24"/>
          <w:szCs w:val="24"/>
        </w:rPr>
        <w:t>是什么</w:t>
      </w:r>
      <w:r w:rsidRPr="00481206">
        <w:rPr>
          <w:rFonts w:asciiTheme="minorEastAsia" w:hAnsiTheme="minorEastAsia" w:cs="ZHAGIG-9"/>
          <w:kern w:val="0"/>
          <w:sz w:val="24"/>
          <w:szCs w:val="24"/>
        </w:rPr>
        <w:t>”</w:t>
      </w:r>
      <w:r w:rsidRPr="00481206">
        <w:rPr>
          <w:rFonts w:asciiTheme="minorEastAsia" w:hAnsiTheme="minorEastAsia" w:cs="方正书宋_GBK" w:hint="eastAsia"/>
          <w:kern w:val="0"/>
          <w:sz w:val="24"/>
          <w:szCs w:val="24"/>
        </w:rPr>
        <w:t>，而很少涉及价值判断，即</w:t>
      </w:r>
      <w:r w:rsidRPr="00481206">
        <w:rPr>
          <w:rFonts w:asciiTheme="minorEastAsia" w:hAnsiTheme="minorEastAsia" w:cs="ZHAGIF-5"/>
          <w:kern w:val="0"/>
          <w:sz w:val="24"/>
          <w:szCs w:val="24"/>
        </w:rPr>
        <w:t>“</w:t>
      </w:r>
      <w:r w:rsidRPr="00481206">
        <w:rPr>
          <w:rFonts w:asciiTheme="minorEastAsia" w:hAnsiTheme="minorEastAsia" w:cs="方正书宋_GBK" w:hint="eastAsia"/>
          <w:kern w:val="0"/>
          <w:sz w:val="24"/>
          <w:szCs w:val="24"/>
        </w:rPr>
        <w:t>应该是什么</w:t>
      </w:r>
      <w:r w:rsidRPr="00481206">
        <w:rPr>
          <w:rFonts w:asciiTheme="minorEastAsia" w:hAnsiTheme="minorEastAsia" w:cs="ZHAGIF-5"/>
          <w:kern w:val="0"/>
          <w:sz w:val="24"/>
          <w:szCs w:val="24"/>
        </w:rPr>
        <w:t>”</w:t>
      </w:r>
      <w:r w:rsidRPr="00481206">
        <w:rPr>
          <w:rFonts w:asciiTheme="minorEastAsia" w:hAnsiTheme="minorEastAsia" w:cs="方正书宋_GBK" w:hint="eastAsia"/>
          <w:kern w:val="0"/>
          <w:sz w:val="24"/>
          <w:szCs w:val="24"/>
        </w:rPr>
        <w:t>及怎样做的问题</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金融危机发生以来，金融机构</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政府等行为主体不断受人诟病，在追求自身利益最大化的目标中，其行为是否符合伦理道德，是否</w:t>
      </w:r>
      <w:r w:rsidRPr="00481206">
        <w:rPr>
          <w:rFonts w:asciiTheme="minorEastAsia" w:hAnsiTheme="minorEastAsia" w:cs="ZHAGIF-5"/>
          <w:kern w:val="0"/>
          <w:sz w:val="24"/>
          <w:szCs w:val="24"/>
        </w:rPr>
        <w:t>“</w:t>
      </w:r>
      <w:r w:rsidRPr="00481206">
        <w:rPr>
          <w:rFonts w:asciiTheme="minorEastAsia" w:hAnsiTheme="minorEastAsia" w:cs="方正书宋_GBK" w:hint="eastAsia"/>
          <w:kern w:val="0"/>
          <w:sz w:val="24"/>
          <w:szCs w:val="24"/>
        </w:rPr>
        <w:t>为善</w:t>
      </w:r>
      <w:r w:rsidRPr="00481206">
        <w:rPr>
          <w:rFonts w:asciiTheme="minorEastAsia" w:hAnsiTheme="minorEastAsia" w:cs="ZHAGIG-9"/>
          <w:kern w:val="0"/>
          <w:sz w:val="24"/>
          <w:szCs w:val="24"/>
        </w:rPr>
        <w:t xml:space="preserve">” </w:t>
      </w:r>
      <w:r w:rsidRPr="00481206">
        <w:rPr>
          <w:rFonts w:asciiTheme="minorEastAsia" w:hAnsiTheme="minorEastAsia" w:cs="宋体" w:hint="eastAsia"/>
          <w:kern w:val="0"/>
          <w:sz w:val="24"/>
          <w:szCs w:val="24"/>
        </w:rPr>
        <w:t>、</w:t>
      </w:r>
      <w:r w:rsidRPr="00481206">
        <w:rPr>
          <w:rFonts w:asciiTheme="minorEastAsia" w:hAnsiTheme="minorEastAsia" w:cs="ZHAGIG-9"/>
          <w:kern w:val="0"/>
          <w:sz w:val="24"/>
          <w:szCs w:val="24"/>
        </w:rPr>
        <w:t>“</w:t>
      </w:r>
      <w:r w:rsidRPr="00481206">
        <w:rPr>
          <w:rFonts w:asciiTheme="minorEastAsia" w:hAnsiTheme="minorEastAsia" w:cs="方正书宋_GBK" w:hint="eastAsia"/>
          <w:kern w:val="0"/>
          <w:sz w:val="24"/>
          <w:szCs w:val="24"/>
        </w:rPr>
        <w:t>正确</w:t>
      </w:r>
      <w:r w:rsidRPr="00481206">
        <w:rPr>
          <w:rFonts w:asciiTheme="minorEastAsia" w:hAnsiTheme="minorEastAsia" w:cs="ZHAGIG-9"/>
          <w:kern w:val="0"/>
          <w:sz w:val="24"/>
          <w:szCs w:val="24"/>
        </w:rPr>
        <w:t>”</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价值观判断在日常金融事务中无处不在，而金融的研究和教育却脱离实际的价值判断诉求</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金融活动不是纯粹的</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单一的，与社会其他活动是交叉的</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复杂的</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金融活动的主体不仅仅是</w:t>
      </w:r>
      <w:r w:rsidRPr="00481206">
        <w:rPr>
          <w:rFonts w:asciiTheme="minorEastAsia" w:hAnsiTheme="minorEastAsia" w:cs="ZHAGIF-5"/>
          <w:kern w:val="0"/>
          <w:sz w:val="24"/>
          <w:szCs w:val="24"/>
        </w:rPr>
        <w:t xml:space="preserve">“ </w:t>
      </w:r>
      <w:r w:rsidRPr="00481206">
        <w:rPr>
          <w:rFonts w:asciiTheme="minorEastAsia" w:hAnsiTheme="minorEastAsia" w:cs="方正书宋_GBK" w:hint="eastAsia"/>
          <w:kern w:val="0"/>
          <w:sz w:val="24"/>
          <w:szCs w:val="24"/>
        </w:rPr>
        <w:t>经济人</w:t>
      </w:r>
      <w:r w:rsidRPr="00481206">
        <w:rPr>
          <w:rFonts w:asciiTheme="minorEastAsia" w:hAnsiTheme="minorEastAsia" w:cs="ZHAGIG-9"/>
          <w:kern w:val="0"/>
          <w:sz w:val="24"/>
          <w:szCs w:val="24"/>
        </w:rPr>
        <w:t>”</w:t>
      </w:r>
      <w:r w:rsidRPr="00481206">
        <w:rPr>
          <w:rFonts w:asciiTheme="minorEastAsia" w:hAnsiTheme="minorEastAsia" w:cs="方正书宋_GBK" w:hint="eastAsia"/>
          <w:kern w:val="0"/>
          <w:sz w:val="24"/>
          <w:szCs w:val="24"/>
        </w:rPr>
        <w:t>，也是</w:t>
      </w:r>
      <w:r w:rsidRPr="00481206">
        <w:rPr>
          <w:rFonts w:asciiTheme="minorEastAsia" w:hAnsiTheme="minorEastAsia" w:cs="ZHAGIF-5"/>
          <w:kern w:val="0"/>
          <w:sz w:val="24"/>
          <w:szCs w:val="24"/>
        </w:rPr>
        <w:t xml:space="preserve">“ </w:t>
      </w:r>
      <w:r w:rsidRPr="00481206">
        <w:rPr>
          <w:rFonts w:asciiTheme="minorEastAsia" w:hAnsiTheme="minorEastAsia" w:cs="方正书宋_GBK" w:hint="eastAsia"/>
          <w:kern w:val="0"/>
          <w:sz w:val="24"/>
          <w:szCs w:val="24"/>
        </w:rPr>
        <w:t>社会人</w:t>
      </w:r>
      <w:r w:rsidRPr="00481206">
        <w:rPr>
          <w:rFonts w:asciiTheme="minorEastAsia" w:hAnsiTheme="minorEastAsia" w:cs="ZHAGIG-9"/>
          <w:kern w:val="0"/>
          <w:sz w:val="24"/>
          <w:szCs w:val="24"/>
        </w:rPr>
        <w:t>”</w:t>
      </w:r>
      <w:r w:rsidRPr="00481206">
        <w:rPr>
          <w:rFonts w:asciiTheme="minorEastAsia" w:hAnsiTheme="minorEastAsia" w:cs="方正书宋_GBK" w:hint="eastAsia"/>
          <w:kern w:val="0"/>
          <w:sz w:val="24"/>
          <w:szCs w:val="24"/>
        </w:rPr>
        <w:t>，在自身利益与他人利益</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集体利益</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社会利益有冲突的条件下需要进行价值权衡与价值选择</w:t>
      </w:r>
      <w:r w:rsidRPr="00481206">
        <w:rPr>
          <w:rFonts w:asciiTheme="minorEastAsia" w:hAnsiTheme="minorEastAsia" w:cs="方正书宋_GBK" w:hint="eastAsia"/>
          <w:kern w:val="0"/>
          <w:sz w:val="24"/>
          <w:szCs w:val="24"/>
        </w:rPr>
        <w:lastRenderedPageBreak/>
        <w:t>时，应承担利益相关者相应的伦理责任，维护金融活动的健康开展</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因此，在金融专业的教育</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科研以及实践中都应该将金融与伦理结合起来</w:t>
      </w:r>
      <w:r w:rsidRPr="00481206">
        <w:rPr>
          <w:rFonts w:asciiTheme="minorEastAsia" w:hAnsiTheme="minorEastAsia" w:cs="宋体" w:hint="eastAsia"/>
          <w:kern w:val="0"/>
          <w:sz w:val="24"/>
          <w:szCs w:val="24"/>
        </w:rPr>
        <w:t>。</w:t>
      </w:r>
    </w:p>
    <w:p w:rsidR="00481206" w:rsidRPr="00481206" w:rsidRDefault="00481206" w:rsidP="00481206">
      <w:pPr>
        <w:autoSpaceDE w:val="0"/>
        <w:autoSpaceDN w:val="0"/>
        <w:adjustRightInd w:val="0"/>
        <w:snapToGrid w:val="0"/>
        <w:spacing w:line="360" w:lineRule="auto"/>
        <w:ind w:firstLineChars="200" w:firstLine="480"/>
        <w:jc w:val="left"/>
        <w:rPr>
          <w:rFonts w:asciiTheme="minorEastAsia" w:hAnsiTheme="minorEastAsia" w:cs="宋体"/>
          <w:kern w:val="0"/>
          <w:sz w:val="24"/>
          <w:szCs w:val="24"/>
        </w:rPr>
      </w:pPr>
      <w:r w:rsidRPr="00481206">
        <w:rPr>
          <w:rFonts w:asciiTheme="minorEastAsia" w:hAnsiTheme="minorEastAsia" w:cs="方正书宋_GBK" w:hint="eastAsia"/>
          <w:kern w:val="0"/>
          <w:sz w:val="24"/>
          <w:szCs w:val="24"/>
        </w:rPr>
        <w:t>法律可以约束金融主体的行为，但其不同于伦理道德</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在所有商业经济领域中，金融领域的法律规范是最为繁杂的</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一个国家在证券交易</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保险交易</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商业银行</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公司金融等方面的定法文献真可谓汗牛充栋</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但是再多的法律条文</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再严密繁琐的法律规定都不能自动保证金融市场的秩序与对金融机构约束的有效性，金融危机的爆发就是最好的见证</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法律的功能是有限的，而伦理道德在社会中有更广泛的约束与自律作用，且实施的成本低</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如果从业者丧失了这种以金融伦理为基础的自律，那么法律的功能则仅仅限于事后的惩罚，所以基于金融伦理的自律是金融法律法规有效发挥他律作用的基础</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金融伦理观念渗入到金融活动中就会形成金融伦理文化，文化的影响是长期的</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所以构建健康的金融伦理准则和文化是金融活动健康有序发展的基础和关键</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如何传导健康的金融伦理观念，培育健康的金融伦理文化，是金融学教育工作者的重任</w:t>
      </w:r>
      <w:r w:rsidRPr="00481206">
        <w:rPr>
          <w:rFonts w:asciiTheme="minorEastAsia" w:hAnsiTheme="minorEastAsia" w:cs="宋体" w:hint="eastAsia"/>
          <w:kern w:val="0"/>
          <w:sz w:val="24"/>
          <w:szCs w:val="24"/>
        </w:rPr>
        <w:t>。</w:t>
      </w:r>
    </w:p>
    <w:p w:rsidR="00481206" w:rsidRPr="00481206" w:rsidRDefault="00481206" w:rsidP="00481206">
      <w:pPr>
        <w:autoSpaceDE w:val="0"/>
        <w:autoSpaceDN w:val="0"/>
        <w:adjustRightInd w:val="0"/>
        <w:snapToGrid w:val="0"/>
        <w:spacing w:line="360" w:lineRule="auto"/>
        <w:ind w:firstLineChars="200" w:firstLine="480"/>
        <w:jc w:val="left"/>
        <w:rPr>
          <w:rFonts w:asciiTheme="minorEastAsia" w:hAnsiTheme="minorEastAsia" w:cs="ZHAGIF-5"/>
          <w:kern w:val="0"/>
          <w:sz w:val="24"/>
          <w:szCs w:val="24"/>
        </w:rPr>
      </w:pPr>
      <w:r w:rsidRPr="00481206">
        <w:rPr>
          <w:rFonts w:asciiTheme="minorEastAsia" w:hAnsiTheme="minorEastAsia" w:cs="方正书宋_GBK" w:hint="eastAsia"/>
          <w:kern w:val="0"/>
          <w:sz w:val="24"/>
          <w:szCs w:val="24"/>
        </w:rPr>
        <w:t>金融专业学生是金融行业就业的后备军，是金融业生生不息发展的血液来源和养分补充，其基本的伦理道德素质决定了金融行业的发展方向和速度</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在大学阶段，他们年轻可塑性强，仍处于人生观和价值观的形成阶段</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在这个时期加强对大学生的金融伦理教育，对于提升其金融伦理道德的修养，往往能达到事半功倍的效果</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伦理教育可以化解学生的道德困惑，激发进取心</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敬业意识和培养市场经济所需要的健全主体</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因此对在校大学生进行基本的伦理教育，尤其是强化金融专业学生的伦理道德意识，是十分必要的</w:t>
      </w:r>
      <w:r w:rsidRPr="00481206">
        <w:rPr>
          <w:rFonts w:asciiTheme="minorEastAsia" w:hAnsiTheme="minorEastAsia" w:cs="宋体" w:hint="eastAsia"/>
          <w:kern w:val="0"/>
          <w:sz w:val="24"/>
          <w:szCs w:val="24"/>
        </w:rPr>
        <w:t>。</w:t>
      </w:r>
    </w:p>
    <w:p w:rsidR="00481206" w:rsidRPr="00481206" w:rsidRDefault="00481206" w:rsidP="00481206">
      <w:pPr>
        <w:autoSpaceDE w:val="0"/>
        <w:autoSpaceDN w:val="0"/>
        <w:adjustRightInd w:val="0"/>
        <w:snapToGrid w:val="0"/>
        <w:spacing w:line="360" w:lineRule="auto"/>
        <w:ind w:firstLineChars="200" w:firstLine="480"/>
        <w:jc w:val="left"/>
        <w:rPr>
          <w:rFonts w:asciiTheme="minorEastAsia" w:hAnsiTheme="minorEastAsia" w:cs="宋体"/>
          <w:kern w:val="0"/>
          <w:sz w:val="24"/>
          <w:szCs w:val="24"/>
        </w:rPr>
      </w:pPr>
      <w:r w:rsidRPr="00481206">
        <w:rPr>
          <w:rFonts w:asciiTheme="minorEastAsia" w:hAnsiTheme="minorEastAsia" w:cs="方正书宋_GBK" w:hint="eastAsia"/>
          <w:kern w:val="0"/>
          <w:sz w:val="24"/>
          <w:szCs w:val="24"/>
        </w:rPr>
        <w:t>首先，金融领域比其他行业更容易发生不道德的行为，且影响更大</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这是由金融专业的特殊性决定的，因为金融交易的产品是资金，而资金又都是</w:t>
      </w:r>
      <w:r w:rsidRPr="00481206">
        <w:rPr>
          <w:rFonts w:asciiTheme="minorEastAsia" w:hAnsiTheme="minorEastAsia" w:cs="ZHAGIF-5"/>
          <w:kern w:val="0"/>
          <w:sz w:val="24"/>
          <w:szCs w:val="24"/>
        </w:rPr>
        <w:t>“</w:t>
      </w:r>
      <w:r w:rsidRPr="00481206">
        <w:rPr>
          <w:rFonts w:asciiTheme="minorEastAsia" w:hAnsiTheme="minorEastAsia" w:cs="方正书宋_GBK" w:hint="eastAsia"/>
          <w:kern w:val="0"/>
          <w:sz w:val="24"/>
          <w:szCs w:val="24"/>
        </w:rPr>
        <w:t>别人的钱</w:t>
      </w:r>
      <w:r w:rsidRPr="00481206">
        <w:rPr>
          <w:rFonts w:asciiTheme="minorEastAsia" w:hAnsiTheme="minorEastAsia" w:cs="ZHAGIG-9"/>
          <w:kern w:val="0"/>
          <w:sz w:val="24"/>
          <w:szCs w:val="24"/>
        </w:rPr>
        <w:t>”</w:t>
      </w:r>
      <w:r w:rsidRPr="00481206">
        <w:rPr>
          <w:rFonts w:asciiTheme="minorEastAsia" w:hAnsiTheme="minorEastAsia" w:cs="方正书宋_GBK" w:hint="eastAsia"/>
          <w:kern w:val="0"/>
          <w:sz w:val="24"/>
          <w:szCs w:val="24"/>
        </w:rPr>
        <w:t>，金融从业人员出于贪婪的欲望而更容易发生欺诈</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操纵</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违约和不公平交易</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比如银行的钱是存款人的，保险公司的钱是保险人的，证券公司有客户的保证金，基金公司的钱来自于投资人的份额，第三方支付机构</w:t>
      </w:r>
      <w:r w:rsidRPr="00481206">
        <w:rPr>
          <w:rFonts w:asciiTheme="minorEastAsia" w:hAnsiTheme="minorEastAsia" w:cs="宋体" w:hint="eastAsia"/>
          <w:kern w:val="0"/>
          <w:sz w:val="24"/>
          <w:szCs w:val="24"/>
        </w:rPr>
        <w:t>、</w:t>
      </w:r>
      <w:r w:rsidRPr="00481206">
        <w:rPr>
          <w:rFonts w:asciiTheme="minorEastAsia" w:hAnsiTheme="minorEastAsia" w:cs="ZHAGIF-5"/>
          <w:kern w:val="0"/>
          <w:sz w:val="24"/>
          <w:szCs w:val="24"/>
        </w:rPr>
        <w:t>P2P</w:t>
      </w:r>
      <w:r w:rsidRPr="00481206">
        <w:rPr>
          <w:rFonts w:asciiTheme="minorEastAsia" w:hAnsiTheme="minorEastAsia" w:cs="方正书宋_GBK" w:hint="eastAsia"/>
          <w:kern w:val="0"/>
          <w:sz w:val="24"/>
          <w:szCs w:val="24"/>
        </w:rPr>
        <w:t>贷款平台</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众筹平台等新的网络金融机构也都是用的别人的钱</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从业人员可能经不住诱惑，通过非法盗取</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关联交易</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关联担保等违背道德的行为中饱私囊，致使金融犯罪案件层出不穷，甚至引发金融动荡，波及实体领域，造成金融和经济危机</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如美国的次贷危机就是源于美国银行家</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评级机构扭曲的金融伦理和金融腐败而引发的金融海啸</w:t>
      </w:r>
      <w:r w:rsidRPr="00481206">
        <w:rPr>
          <w:rFonts w:asciiTheme="minorEastAsia" w:hAnsiTheme="minorEastAsia" w:cs="宋体" w:hint="eastAsia"/>
          <w:kern w:val="0"/>
          <w:sz w:val="24"/>
          <w:szCs w:val="24"/>
        </w:rPr>
        <w:t>。</w:t>
      </w:r>
    </w:p>
    <w:p w:rsidR="00481206" w:rsidRPr="00481206" w:rsidRDefault="00481206" w:rsidP="00481206">
      <w:pPr>
        <w:autoSpaceDE w:val="0"/>
        <w:autoSpaceDN w:val="0"/>
        <w:adjustRightInd w:val="0"/>
        <w:snapToGrid w:val="0"/>
        <w:spacing w:line="360" w:lineRule="auto"/>
        <w:ind w:firstLineChars="200" w:firstLine="480"/>
        <w:jc w:val="left"/>
        <w:rPr>
          <w:rFonts w:asciiTheme="minorEastAsia" w:hAnsiTheme="minorEastAsia" w:cs="宋体"/>
          <w:kern w:val="0"/>
          <w:sz w:val="24"/>
          <w:szCs w:val="24"/>
        </w:rPr>
      </w:pPr>
      <w:r w:rsidRPr="00481206">
        <w:rPr>
          <w:rFonts w:asciiTheme="minorEastAsia" w:hAnsiTheme="minorEastAsia" w:cs="方正书宋_GBK" w:hint="eastAsia"/>
          <w:kern w:val="0"/>
          <w:sz w:val="24"/>
          <w:szCs w:val="24"/>
        </w:rPr>
        <w:t>其次，金融行业的创新日新月异，金融产品五花八门，金融消费者容易受到专业知识上的歧视和欺骗</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金融体系的运转具有较强的专业性，只有经过系统的教育培训，才</w:t>
      </w:r>
      <w:r w:rsidRPr="00481206">
        <w:rPr>
          <w:rFonts w:asciiTheme="minorEastAsia" w:hAnsiTheme="minorEastAsia" w:cs="方正书宋_GBK" w:hint="eastAsia"/>
          <w:kern w:val="0"/>
          <w:sz w:val="24"/>
          <w:szCs w:val="24"/>
        </w:rPr>
        <w:lastRenderedPageBreak/>
        <w:t>能掌握全面的金融知识，理解金融运作的逻辑和本质，故普通的投资者和民众很难清楚地了解金融体系的运作模式</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经过专业的系统学习和培训后，金融专业的学生进入金融实体领域后，对金融的发展和创新有积极的作用，创造出更多更新的金融产品，比如最近发展迅猛的</w:t>
      </w:r>
      <w:r w:rsidRPr="00481206">
        <w:rPr>
          <w:rFonts w:asciiTheme="minorEastAsia" w:hAnsiTheme="minorEastAsia" w:cs="ZHAGIF-1"/>
          <w:kern w:val="0"/>
          <w:sz w:val="24"/>
          <w:szCs w:val="24"/>
        </w:rPr>
        <w:t>P2P</w:t>
      </w:r>
      <w:r w:rsidRPr="00481206">
        <w:rPr>
          <w:rFonts w:asciiTheme="minorEastAsia" w:hAnsiTheme="minorEastAsia" w:cs="方正书宋_GBK" w:hint="eastAsia"/>
          <w:kern w:val="0"/>
          <w:sz w:val="24"/>
          <w:szCs w:val="24"/>
        </w:rPr>
        <w:t>网络贷款</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众筹融资等网络金融产品，影响和改变人们的消费和投资习惯</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如果这些金融的创新者和变革者伦理道德素质低下，就会经不住利益的诱惑，虚假宣传</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刻意隐瞒</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违规披露</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非法集资</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坑蒙拐骗</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捐款跑路等误导和欺骗消费者，造成不良的社会影响</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在金融领域中，基于金融知识壁垒的广泛存在，金融机构从业人员必须具备较高的伦理素养，尤其是进入这个行业之前就应予以强化，否则投资者受骗的概率将非常高</w:t>
      </w:r>
      <w:r w:rsidRPr="00481206">
        <w:rPr>
          <w:rFonts w:asciiTheme="minorEastAsia" w:hAnsiTheme="minorEastAsia" w:cs="宋体" w:hint="eastAsia"/>
          <w:kern w:val="0"/>
          <w:sz w:val="24"/>
          <w:szCs w:val="24"/>
        </w:rPr>
        <w:t>。</w:t>
      </w:r>
    </w:p>
    <w:p w:rsidR="00481206" w:rsidRPr="00481206" w:rsidRDefault="00481206" w:rsidP="00481206">
      <w:pPr>
        <w:autoSpaceDE w:val="0"/>
        <w:autoSpaceDN w:val="0"/>
        <w:adjustRightInd w:val="0"/>
        <w:snapToGrid w:val="0"/>
        <w:spacing w:line="360" w:lineRule="auto"/>
        <w:ind w:firstLineChars="200" w:firstLine="480"/>
        <w:jc w:val="left"/>
        <w:rPr>
          <w:rFonts w:asciiTheme="minorEastAsia" w:hAnsiTheme="minorEastAsia" w:cs="宋体"/>
          <w:kern w:val="0"/>
          <w:sz w:val="24"/>
          <w:szCs w:val="24"/>
        </w:rPr>
      </w:pPr>
      <w:r w:rsidRPr="00481206">
        <w:rPr>
          <w:rFonts w:asciiTheme="minorEastAsia" w:hAnsiTheme="minorEastAsia" w:cs="方正书宋_GBK" w:hint="eastAsia"/>
          <w:kern w:val="0"/>
          <w:sz w:val="24"/>
          <w:szCs w:val="24"/>
        </w:rPr>
        <w:t>再次，金融领域与其他行业相比，信息不对称程度更高，从而更易引发道德风险和逆向选择行为</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当一个储蓄者将资金存到一个商业银行时，是基于他对银行充分的信任，他相信银行可以保证其资金的安全性</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银行作为代理人，本应该秉持稳健经营的理念，谨慎选择投资项目</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但是很多时候，银行却是风险偏好者，他们会置风险于不顾而选择那些投机很强的项目期望获得非常规的收益，这就是典型的道德风险</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逆向选择也非常普遍地存在于金融体系之中</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比如，在证券发行时，往往是那些业绩不好</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经营有问题的公司获得上市资格，因为他们为了获得资金，不惜用各种欺骗性的方法包装他们的财务报表，提供虚假的信息，甚至通过贿赂等手段买通监管部门的官员</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结果导致证券市场充斥着一批劣质的上市公司，而优质的公司反而被排除在证券市场外，这就是典型的逆向选择行为</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在金融系统中，道德风险与选择行为是如此普遍，以至于金融从业人员必须有很高的伦理素质，才能避免这样的风险发生</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因此，在他们为金融行业服务的准备阶段就接收系统的伦理道德教育是非常有效而且十分必要的</w:t>
      </w:r>
      <w:r w:rsidRPr="00481206">
        <w:rPr>
          <w:rFonts w:asciiTheme="minorEastAsia" w:hAnsiTheme="minorEastAsia" w:cs="宋体" w:hint="eastAsia"/>
          <w:kern w:val="0"/>
          <w:sz w:val="24"/>
          <w:szCs w:val="24"/>
        </w:rPr>
        <w:t>。</w:t>
      </w:r>
    </w:p>
    <w:p w:rsidR="00481206" w:rsidRPr="00481206" w:rsidRDefault="00481206" w:rsidP="00481206">
      <w:pPr>
        <w:autoSpaceDE w:val="0"/>
        <w:autoSpaceDN w:val="0"/>
        <w:adjustRightInd w:val="0"/>
        <w:snapToGrid w:val="0"/>
        <w:spacing w:line="360" w:lineRule="auto"/>
        <w:ind w:firstLineChars="200" w:firstLine="480"/>
        <w:jc w:val="left"/>
        <w:rPr>
          <w:rFonts w:asciiTheme="minorEastAsia" w:hAnsiTheme="minorEastAsia" w:cs="宋体"/>
          <w:kern w:val="0"/>
          <w:sz w:val="24"/>
          <w:szCs w:val="24"/>
        </w:rPr>
      </w:pPr>
      <w:r w:rsidRPr="00481206">
        <w:rPr>
          <w:rFonts w:asciiTheme="minorEastAsia" w:hAnsiTheme="minorEastAsia" w:cs="方正书宋_GBK" w:hint="eastAsia"/>
          <w:kern w:val="0"/>
          <w:sz w:val="24"/>
          <w:szCs w:val="24"/>
        </w:rPr>
        <w:t>首先，树立伦理教育理念</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教育强国，育才兴邦</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世界高等教育发展经验表明，现代高校是各种意识形态集中之地，也是主流意识形态争夺青年之地</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金融专业学生的伦理道德教育不仅要培养学生正确的人生观</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价值观</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社会主义荣辱观等基本的道德情操观念，还要针对金融行业高风险的特征，培养他们的风险意识，增强社会责任感，培养奉献和服务精神，强化遵规守法的价值理念，突出伦理道德的重要性</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这样的伦理道德教育理念应该在全国所有金融院校和各级金融专业教学和实践活动中渗透</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金融专业教师应树立道德为先</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伦理育人的思维，并通过言传身教，在教育教学过程中，将金融伦理思想渗透到各个知识点</w:t>
      </w:r>
      <w:r w:rsidRPr="00481206">
        <w:rPr>
          <w:rFonts w:asciiTheme="minorEastAsia" w:hAnsiTheme="minorEastAsia" w:cs="宋体" w:hint="eastAsia"/>
          <w:kern w:val="0"/>
          <w:sz w:val="24"/>
          <w:szCs w:val="24"/>
        </w:rPr>
        <w:t>。</w:t>
      </w:r>
    </w:p>
    <w:p w:rsidR="00481206" w:rsidRPr="00481206" w:rsidRDefault="00481206" w:rsidP="00481206">
      <w:pPr>
        <w:autoSpaceDE w:val="0"/>
        <w:autoSpaceDN w:val="0"/>
        <w:adjustRightInd w:val="0"/>
        <w:snapToGrid w:val="0"/>
        <w:spacing w:line="360" w:lineRule="auto"/>
        <w:ind w:firstLineChars="200" w:firstLine="480"/>
        <w:jc w:val="left"/>
        <w:rPr>
          <w:rFonts w:asciiTheme="minorEastAsia" w:hAnsiTheme="minorEastAsia" w:cs="ZHAGIF-5"/>
          <w:kern w:val="0"/>
          <w:sz w:val="24"/>
          <w:szCs w:val="24"/>
        </w:rPr>
      </w:pPr>
      <w:r w:rsidRPr="00481206">
        <w:rPr>
          <w:rFonts w:asciiTheme="minorEastAsia" w:hAnsiTheme="minorEastAsia" w:cs="方正书宋_GBK" w:hint="eastAsia"/>
          <w:kern w:val="0"/>
          <w:sz w:val="24"/>
          <w:szCs w:val="24"/>
        </w:rPr>
        <w:t>其次，建立伦理教育模式</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一是在金融专业的课程体系设置上重视伦理教育</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在课</w:t>
      </w:r>
      <w:r w:rsidRPr="00481206">
        <w:rPr>
          <w:rFonts w:asciiTheme="minorEastAsia" w:hAnsiTheme="minorEastAsia" w:cs="方正书宋_GBK" w:hint="eastAsia"/>
          <w:kern w:val="0"/>
          <w:sz w:val="24"/>
          <w:szCs w:val="24"/>
        </w:rPr>
        <w:lastRenderedPageBreak/>
        <w:t>程设置上，金融伦理教育能够形成行为倡议，如按期还贷</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如期偿还借款等等</w:t>
      </w:r>
      <w:r w:rsidRPr="00481206">
        <w:rPr>
          <w:rFonts w:asciiTheme="minorEastAsia" w:hAnsiTheme="minorEastAsia" w:cs="方正书宋_GBK"/>
          <w:kern w:val="0"/>
          <w:sz w:val="24"/>
          <w:szCs w:val="24"/>
        </w:rPr>
        <w:t>;</w:t>
      </w:r>
      <w:r w:rsidRPr="00481206">
        <w:rPr>
          <w:rFonts w:asciiTheme="minorEastAsia" w:hAnsiTheme="minorEastAsia" w:cs="方正书宋_GBK" w:hint="eastAsia"/>
          <w:kern w:val="0"/>
          <w:sz w:val="24"/>
          <w:szCs w:val="24"/>
        </w:rPr>
        <w:t>开设以金融伦理案例为主的伦理课程，并引入社会上金融从业专家的系列讲座，增强学生对金融伦理道德的兴趣</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在课程内容安排上，金融伦理教育应加强学生对金融行业风险的认识，对人性的弱点进行更深入的解剖，对诚信</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廉洁</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公平</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公开</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公正等基本的伦理道德要素进行详细的案例分析或者课堂讨论与表演，纠正金钱至上</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享乐主义</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钻空子走捷径的不正之风，让学生对金钱有正确客观的认识，树立诚信学习</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诚信考试</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诚信做人</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诚信做事的信用道德观念</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因伦理道德教育在学校教育中一直流于形式，内容枯燥无味，因此其课程体系的建设和内容的安排是否合理生动有趣，直接影响了学生对此知识的接受和掌握程度</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二是在金融专业实践教学中渗透伦理道德情操观教育</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组织学生多参加社会实践活动，通过与银行</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证券公司</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保险公司</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理财公司等合作，建立稳定的校外实习实践基地，提高学生的动手实践能力，亲身感知企业文化，让金融企业从业者讲解职业道德和从业精神</w:t>
      </w:r>
      <w:r w:rsidRPr="00481206">
        <w:rPr>
          <w:rFonts w:asciiTheme="minorEastAsia" w:hAnsiTheme="minorEastAsia" w:cs="方正书宋_GBK"/>
          <w:kern w:val="0"/>
          <w:sz w:val="24"/>
          <w:szCs w:val="24"/>
        </w:rPr>
        <w:t xml:space="preserve">; </w:t>
      </w:r>
      <w:r w:rsidRPr="00481206">
        <w:rPr>
          <w:rFonts w:asciiTheme="minorEastAsia" w:hAnsiTheme="minorEastAsia" w:cs="方正书宋_GBK" w:hint="eastAsia"/>
          <w:kern w:val="0"/>
          <w:sz w:val="24"/>
          <w:szCs w:val="24"/>
        </w:rPr>
        <w:t>开辟第二课堂，通过积极组织各类志愿者活动，帮助困难个人和家庭，让学生关注社会弱势群体，感知他们的苦与痛</w:t>
      </w:r>
      <w:r w:rsidRPr="00481206">
        <w:rPr>
          <w:rFonts w:asciiTheme="minorEastAsia" w:hAnsiTheme="minorEastAsia" w:cs="方正书宋_GBK"/>
          <w:kern w:val="0"/>
          <w:sz w:val="24"/>
          <w:szCs w:val="24"/>
        </w:rPr>
        <w:t xml:space="preserve">; </w:t>
      </w:r>
      <w:r w:rsidRPr="00481206">
        <w:rPr>
          <w:rFonts w:asciiTheme="minorEastAsia" w:hAnsiTheme="minorEastAsia" w:cs="方正书宋_GBK" w:hint="eastAsia"/>
          <w:kern w:val="0"/>
          <w:sz w:val="24"/>
          <w:szCs w:val="24"/>
        </w:rPr>
        <w:t>发动学生参加慈善活动，利用为灾区捐款捐物等行动来激励和教育学生，加强学生团结互助</w:t>
      </w:r>
      <w:r w:rsidRPr="00481206">
        <w:rPr>
          <w:rFonts w:asciiTheme="minorEastAsia" w:hAnsiTheme="minorEastAsia" w:cs="宋体" w:hint="eastAsia"/>
          <w:kern w:val="0"/>
          <w:sz w:val="24"/>
          <w:szCs w:val="24"/>
        </w:rPr>
        <w:t>、</w:t>
      </w:r>
      <w:r w:rsidRPr="00481206">
        <w:rPr>
          <w:rFonts w:asciiTheme="minorEastAsia" w:hAnsiTheme="minorEastAsia" w:cs="方正书宋_GBK" w:hint="eastAsia"/>
          <w:kern w:val="0"/>
          <w:sz w:val="24"/>
          <w:szCs w:val="24"/>
        </w:rPr>
        <w:t>忠诚感恩等方面的教育，培育学生拥有一颗善良和友爱的心，提高社会良知和社会责任感，为金融行业培养优质的后备军</w:t>
      </w:r>
      <w:r w:rsidRPr="00481206">
        <w:rPr>
          <w:rFonts w:asciiTheme="minorEastAsia" w:hAnsiTheme="minorEastAsia" w:cs="宋体" w:hint="eastAsia"/>
          <w:kern w:val="0"/>
          <w:sz w:val="24"/>
          <w:szCs w:val="24"/>
        </w:rPr>
        <w:t>。</w:t>
      </w:r>
    </w:p>
    <w:p w:rsidR="00481206" w:rsidRPr="00481206" w:rsidRDefault="00481206" w:rsidP="00481206">
      <w:pPr>
        <w:pStyle w:val="3"/>
        <w:spacing w:before="0" w:after="0" w:line="360" w:lineRule="auto"/>
        <w:rPr>
          <w:rFonts w:ascii="宋体" w:hAnsi="宋体" w:cs="宋体"/>
          <w:sz w:val="28"/>
          <w:szCs w:val="28"/>
        </w:rPr>
      </w:pPr>
      <w:bookmarkStart w:id="41" w:name="_Toc474271565"/>
      <w:r w:rsidRPr="00481206">
        <w:rPr>
          <w:rFonts w:ascii="宋体" w:hAnsi="宋体" w:cs="宋体" w:hint="eastAsia"/>
          <w:sz w:val="28"/>
          <w:szCs w:val="28"/>
        </w:rPr>
        <w:t>2.7学习本课程的必要性</w:t>
      </w:r>
      <w:bookmarkEnd w:id="37"/>
      <w:bookmarkEnd w:id="38"/>
      <w:bookmarkEnd w:id="41"/>
    </w:p>
    <w:p w:rsidR="00481206" w:rsidRDefault="00481206" w:rsidP="00481206">
      <w:pPr>
        <w:spacing w:line="360" w:lineRule="auto"/>
        <w:ind w:firstLineChars="200" w:firstLine="480"/>
        <w:rPr>
          <w:rFonts w:ascii="宋体" w:hAnsi="宋体" w:cs="宋体"/>
          <w:sz w:val="24"/>
        </w:rPr>
      </w:pPr>
      <w:r w:rsidRPr="00481206">
        <w:rPr>
          <w:rFonts w:ascii="宋体" w:hAnsi="宋体" w:cs="宋体" w:hint="eastAsia"/>
          <w:sz w:val="24"/>
        </w:rPr>
        <w:t>在学生培养上，可以培养学生更为严密的逻辑思维和更理性的经济学思维能力，使其掌握有效的研究方法；有助于学生分析经济现象、掌握经济规律、运用经济运行的规律来指导个人消费投资决策和企业经营决策。因此，这门课程是是经济类与管理类专业学生必不可少的课程。</w:t>
      </w:r>
    </w:p>
    <w:p w:rsidR="00481206" w:rsidRDefault="00481206" w:rsidP="00481206">
      <w:pPr>
        <w:spacing w:line="360" w:lineRule="auto"/>
        <w:ind w:firstLineChars="200" w:firstLine="480"/>
        <w:rPr>
          <w:rFonts w:ascii="宋体" w:hAnsi="宋体" w:cs="宋体"/>
          <w:sz w:val="24"/>
        </w:rPr>
      </w:pPr>
    </w:p>
    <w:p w:rsidR="00481206" w:rsidRDefault="00481206" w:rsidP="00481206">
      <w:pPr>
        <w:spacing w:line="360" w:lineRule="auto"/>
        <w:ind w:firstLineChars="200" w:firstLine="480"/>
        <w:rPr>
          <w:rFonts w:ascii="宋体" w:hAnsi="宋体" w:cs="宋体"/>
          <w:sz w:val="24"/>
        </w:rPr>
      </w:pPr>
    </w:p>
    <w:p w:rsidR="00481206" w:rsidRDefault="00481206" w:rsidP="00481206">
      <w:pPr>
        <w:spacing w:line="360" w:lineRule="auto"/>
        <w:ind w:firstLineChars="200" w:firstLine="480"/>
        <w:rPr>
          <w:rFonts w:ascii="宋体" w:hAnsi="宋体" w:cs="宋体"/>
          <w:sz w:val="24"/>
        </w:rPr>
      </w:pPr>
    </w:p>
    <w:p w:rsidR="00481206" w:rsidRDefault="00481206" w:rsidP="00481206">
      <w:pPr>
        <w:spacing w:line="360" w:lineRule="auto"/>
        <w:ind w:firstLineChars="200" w:firstLine="480"/>
        <w:rPr>
          <w:rFonts w:ascii="宋体" w:hAnsi="宋体" w:cs="宋体"/>
          <w:sz w:val="24"/>
        </w:rPr>
      </w:pPr>
    </w:p>
    <w:p w:rsidR="00481206" w:rsidRDefault="00481206" w:rsidP="00481206">
      <w:pPr>
        <w:spacing w:line="360" w:lineRule="auto"/>
        <w:ind w:firstLineChars="200" w:firstLine="480"/>
        <w:rPr>
          <w:rFonts w:ascii="宋体" w:hAnsi="宋体" w:cs="宋体"/>
          <w:sz w:val="24"/>
        </w:rPr>
      </w:pPr>
    </w:p>
    <w:p w:rsidR="00481206" w:rsidRPr="00481206" w:rsidRDefault="00481206" w:rsidP="00481206">
      <w:pPr>
        <w:spacing w:line="360" w:lineRule="auto"/>
        <w:ind w:firstLineChars="200" w:firstLine="480"/>
        <w:rPr>
          <w:rFonts w:ascii="宋体" w:hAnsi="宋体" w:cs="宋体"/>
          <w:sz w:val="24"/>
        </w:rPr>
      </w:pPr>
    </w:p>
    <w:p w:rsidR="00481206" w:rsidRPr="00481206" w:rsidRDefault="00481206" w:rsidP="00481206">
      <w:pPr>
        <w:pStyle w:val="2"/>
        <w:spacing w:before="312" w:after="312" w:line="360" w:lineRule="auto"/>
        <w:jc w:val="center"/>
        <w:rPr>
          <w:rFonts w:ascii="黑体" w:hAnsi="黑体" w:cs="宋体"/>
          <w:sz w:val="44"/>
          <w:szCs w:val="44"/>
        </w:rPr>
      </w:pPr>
      <w:bookmarkStart w:id="42" w:name="_Toc403319289"/>
      <w:bookmarkStart w:id="43" w:name="_Toc17048"/>
      <w:bookmarkStart w:id="44" w:name="_Toc32590"/>
      <w:bookmarkStart w:id="45" w:name="_Toc26793"/>
      <w:bookmarkStart w:id="46" w:name="_Toc474271566"/>
      <w:r w:rsidRPr="00481206">
        <w:rPr>
          <w:rFonts w:ascii="黑体" w:hAnsi="黑体" w:cs="宋体" w:hint="eastAsia"/>
          <w:sz w:val="44"/>
          <w:szCs w:val="44"/>
        </w:rPr>
        <w:lastRenderedPageBreak/>
        <w:t>3教师简介</w:t>
      </w:r>
      <w:bookmarkEnd w:id="42"/>
      <w:bookmarkEnd w:id="43"/>
      <w:bookmarkEnd w:id="44"/>
      <w:bookmarkEnd w:id="45"/>
      <w:bookmarkEnd w:id="46"/>
    </w:p>
    <w:p w:rsidR="00481206" w:rsidRPr="00481206" w:rsidRDefault="00481206" w:rsidP="00481206">
      <w:pPr>
        <w:spacing w:line="360" w:lineRule="auto"/>
        <w:ind w:firstLineChars="200" w:firstLine="480"/>
        <w:rPr>
          <w:rFonts w:ascii="宋体" w:hAnsi="宋体" w:cs="宋体"/>
          <w:sz w:val="24"/>
        </w:rPr>
      </w:pPr>
      <w:r w:rsidRPr="00481206">
        <w:rPr>
          <w:rFonts w:ascii="宋体" w:hAnsi="宋体" w:cs="宋体" w:hint="eastAsia"/>
          <w:sz w:val="24"/>
        </w:rPr>
        <w:t xml:space="preserve"> 作为经济与管理学院《衍生金融产品概论》课程的主讲教师，本人的简介如表3-1所示：</w:t>
      </w:r>
    </w:p>
    <w:p w:rsidR="00481206" w:rsidRPr="00481206" w:rsidRDefault="00481206" w:rsidP="005318D5">
      <w:pPr>
        <w:spacing w:afterLines="50" w:line="360" w:lineRule="auto"/>
        <w:ind w:firstLineChars="200" w:firstLine="420"/>
        <w:jc w:val="center"/>
        <w:rPr>
          <w:rFonts w:ascii="黑体" w:eastAsia="黑体" w:hAnsi="黑体" w:cs="黑体"/>
          <w:bCs/>
          <w:szCs w:val="21"/>
        </w:rPr>
      </w:pPr>
      <w:r w:rsidRPr="00481206">
        <w:rPr>
          <w:rFonts w:ascii="黑体" w:eastAsia="黑体" w:hAnsi="黑体" w:cs="黑体" w:hint="eastAsia"/>
          <w:bCs/>
          <w:szCs w:val="21"/>
        </w:rPr>
        <w:t>表3-1   《</w:t>
      </w:r>
      <w:r w:rsidRPr="00481206">
        <w:rPr>
          <w:rFonts w:ascii="黑体" w:eastAsia="黑体" w:hAnsi="黑体" w:hint="eastAsia"/>
          <w:szCs w:val="21"/>
        </w:rPr>
        <w:t>衍生金融产品概论</w:t>
      </w:r>
      <w:r w:rsidRPr="00481206">
        <w:rPr>
          <w:rFonts w:ascii="黑体" w:eastAsia="黑体" w:hAnsi="黑体" w:cs="黑体" w:hint="eastAsia"/>
          <w:bCs/>
          <w:szCs w:val="21"/>
        </w:rPr>
        <w:t>》课程教学实施大纲设计教师肖磊的简介</w:t>
      </w:r>
    </w:p>
    <w:tbl>
      <w:tblPr>
        <w:tblpPr w:leftFromText="180" w:rightFromText="180" w:vertAnchor="text" w:horzAnchor="margin" w:tblpXSpec="center"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7"/>
        <w:gridCol w:w="5501"/>
      </w:tblGrid>
      <w:tr w:rsidR="00481206" w:rsidRPr="00481206" w:rsidTr="00CF0F4C">
        <w:trPr>
          <w:trHeight w:val="705"/>
        </w:trPr>
        <w:tc>
          <w:tcPr>
            <w:tcW w:w="2687" w:type="dxa"/>
            <w:vAlign w:val="center"/>
          </w:tcPr>
          <w:p w:rsidR="00481206" w:rsidRPr="00481206" w:rsidRDefault="00481206" w:rsidP="00CF0F4C">
            <w:pPr>
              <w:spacing w:line="360" w:lineRule="auto"/>
              <w:rPr>
                <w:rFonts w:ascii="宋体" w:hAnsi="宋体" w:cs="宋体"/>
                <w:b/>
                <w:sz w:val="24"/>
              </w:rPr>
            </w:pPr>
            <w:r w:rsidRPr="00481206">
              <w:rPr>
                <w:rFonts w:ascii="宋体" w:hAnsi="宋体" w:cs="宋体" w:hint="eastAsia"/>
                <w:b/>
                <w:sz w:val="24"/>
              </w:rPr>
              <w:t>3.1职称学历</w:t>
            </w:r>
          </w:p>
        </w:tc>
        <w:tc>
          <w:tcPr>
            <w:tcW w:w="5501" w:type="dxa"/>
            <w:vAlign w:val="center"/>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sz w:val="24"/>
              </w:rPr>
              <w:t>讲师，经济学硕士</w:t>
            </w:r>
          </w:p>
        </w:tc>
      </w:tr>
      <w:tr w:rsidR="00481206" w:rsidRPr="00481206" w:rsidTr="00CF0F4C">
        <w:trPr>
          <w:trHeight w:val="829"/>
        </w:trPr>
        <w:tc>
          <w:tcPr>
            <w:tcW w:w="2687" w:type="dxa"/>
            <w:vAlign w:val="center"/>
          </w:tcPr>
          <w:p w:rsidR="00481206" w:rsidRPr="00481206" w:rsidRDefault="00481206" w:rsidP="00CF0F4C">
            <w:pPr>
              <w:spacing w:line="360" w:lineRule="auto"/>
              <w:rPr>
                <w:rFonts w:ascii="宋体" w:hAnsi="宋体" w:cs="宋体"/>
                <w:b/>
                <w:sz w:val="24"/>
              </w:rPr>
            </w:pPr>
            <w:r w:rsidRPr="00481206">
              <w:rPr>
                <w:rFonts w:ascii="宋体" w:hAnsi="宋体" w:cs="宋体" w:hint="eastAsia"/>
                <w:b/>
                <w:sz w:val="24"/>
              </w:rPr>
              <w:t>3.2教育背景</w:t>
            </w:r>
          </w:p>
        </w:tc>
        <w:tc>
          <w:tcPr>
            <w:tcW w:w="5501" w:type="dxa"/>
            <w:vAlign w:val="center"/>
          </w:tcPr>
          <w:p w:rsidR="00481206" w:rsidRPr="00481206" w:rsidRDefault="00481206" w:rsidP="00CF0F4C">
            <w:pPr>
              <w:numPr>
                <w:ilvl w:val="0"/>
                <w:numId w:val="1"/>
              </w:numPr>
              <w:spacing w:line="360" w:lineRule="auto"/>
              <w:jc w:val="left"/>
              <w:rPr>
                <w:rFonts w:ascii="宋体" w:hAnsi="宋体" w:cs="宋体"/>
                <w:sz w:val="24"/>
              </w:rPr>
            </w:pPr>
            <w:r w:rsidRPr="00481206">
              <w:rPr>
                <w:rFonts w:ascii="宋体" w:hAnsi="宋体" w:cs="宋体" w:hint="eastAsia"/>
                <w:sz w:val="24"/>
              </w:rPr>
              <w:t>20</w:t>
            </w:r>
            <w:r w:rsidR="00CE60FA">
              <w:rPr>
                <w:rFonts w:ascii="宋体" w:hAnsi="宋体" w:cs="宋体" w:hint="eastAsia"/>
                <w:sz w:val="24"/>
              </w:rPr>
              <w:t>11</w:t>
            </w:r>
            <w:r w:rsidRPr="00481206">
              <w:rPr>
                <w:rFonts w:ascii="宋体" w:hAnsi="宋体" w:cs="宋体" w:hint="eastAsia"/>
                <w:sz w:val="24"/>
              </w:rPr>
              <w:t>年毕业于西南财经大学，获经济学博士学位；</w:t>
            </w:r>
          </w:p>
          <w:p w:rsidR="00481206" w:rsidRPr="00481206" w:rsidRDefault="00481206" w:rsidP="00CF0F4C">
            <w:pPr>
              <w:numPr>
                <w:ilvl w:val="0"/>
                <w:numId w:val="1"/>
              </w:numPr>
              <w:spacing w:line="360" w:lineRule="auto"/>
              <w:jc w:val="left"/>
              <w:rPr>
                <w:rFonts w:ascii="宋体" w:hAnsi="宋体" w:cs="宋体"/>
                <w:sz w:val="24"/>
              </w:rPr>
            </w:pPr>
            <w:r w:rsidRPr="00481206">
              <w:rPr>
                <w:rFonts w:ascii="宋体" w:hAnsi="宋体" w:cs="宋体" w:hint="eastAsia"/>
                <w:sz w:val="24"/>
              </w:rPr>
              <w:t>本人在学习期间形成了良好的理论经济学修养；在长期的教学实践中不断总结经验，完善课程教学的方式方法；在相关领域的科研中，逐渐明确了以投资学和金融数量分析为主的研究方向。</w:t>
            </w:r>
          </w:p>
        </w:tc>
      </w:tr>
      <w:tr w:rsidR="00481206" w:rsidRPr="00481206" w:rsidTr="00CF0F4C">
        <w:trPr>
          <w:trHeight w:val="840"/>
        </w:trPr>
        <w:tc>
          <w:tcPr>
            <w:tcW w:w="2687" w:type="dxa"/>
            <w:vAlign w:val="center"/>
          </w:tcPr>
          <w:p w:rsidR="00481206" w:rsidRPr="00481206" w:rsidRDefault="00481206" w:rsidP="00CF0F4C">
            <w:pPr>
              <w:spacing w:line="360" w:lineRule="auto"/>
              <w:rPr>
                <w:rFonts w:ascii="宋体" w:hAnsi="宋体" w:cs="宋体"/>
                <w:b/>
                <w:sz w:val="24"/>
              </w:rPr>
            </w:pPr>
            <w:r w:rsidRPr="00481206">
              <w:rPr>
                <w:rFonts w:ascii="宋体" w:hAnsi="宋体" w:cs="宋体" w:hint="eastAsia"/>
                <w:b/>
                <w:sz w:val="24"/>
              </w:rPr>
              <w:t>3.3研究兴趣（方向）</w:t>
            </w:r>
          </w:p>
        </w:tc>
        <w:tc>
          <w:tcPr>
            <w:tcW w:w="5501" w:type="dxa"/>
            <w:vAlign w:val="center"/>
          </w:tcPr>
          <w:p w:rsidR="00481206" w:rsidRPr="00481206" w:rsidRDefault="00481206" w:rsidP="00CF0F4C">
            <w:pPr>
              <w:numPr>
                <w:ilvl w:val="0"/>
                <w:numId w:val="2"/>
              </w:numPr>
              <w:spacing w:line="360" w:lineRule="auto"/>
              <w:jc w:val="left"/>
              <w:rPr>
                <w:rFonts w:ascii="宋体" w:hAnsi="宋体" w:cs="宋体"/>
                <w:sz w:val="24"/>
              </w:rPr>
            </w:pPr>
            <w:r w:rsidRPr="00481206">
              <w:rPr>
                <w:rFonts w:ascii="宋体" w:hAnsi="宋体" w:cs="宋体" w:hint="eastAsia"/>
                <w:sz w:val="24"/>
              </w:rPr>
              <w:t>投资学</w:t>
            </w:r>
            <w:r w:rsidR="00D95E9F">
              <w:rPr>
                <w:rFonts w:ascii="宋体" w:hAnsi="宋体" w:cs="宋体" w:hint="eastAsia"/>
                <w:sz w:val="24"/>
              </w:rPr>
              <w:t>、金融数量分析</w:t>
            </w:r>
          </w:p>
        </w:tc>
      </w:tr>
    </w:tbl>
    <w:p w:rsidR="00481206" w:rsidRPr="00481206" w:rsidRDefault="00481206" w:rsidP="00481206">
      <w:pPr>
        <w:pStyle w:val="2"/>
        <w:spacing w:before="312" w:after="312" w:line="360" w:lineRule="auto"/>
        <w:jc w:val="center"/>
        <w:rPr>
          <w:rFonts w:ascii="黑体" w:hAnsi="黑体"/>
          <w:sz w:val="44"/>
        </w:rPr>
      </w:pPr>
      <w:r w:rsidRPr="00481206">
        <w:rPr>
          <w:rFonts w:hint="eastAsia"/>
          <w:sz w:val="24"/>
        </w:rPr>
        <w:br w:type="page"/>
      </w:r>
      <w:bookmarkStart w:id="47" w:name="_Toc403319290"/>
      <w:bookmarkStart w:id="48" w:name="_Toc30796"/>
      <w:bookmarkStart w:id="49" w:name="_Toc25533"/>
      <w:bookmarkStart w:id="50" w:name="_Toc4860"/>
      <w:bookmarkStart w:id="51" w:name="_Toc474271567"/>
      <w:r w:rsidRPr="00481206">
        <w:rPr>
          <w:rFonts w:ascii="黑体" w:hAnsi="黑体" w:hint="eastAsia"/>
          <w:sz w:val="44"/>
        </w:rPr>
        <w:lastRenderedPageBreak/>
        <w:t>4先修课程</w:t>
      </w:r>
      <w:bookmarkEnd w:id="47"/>
      <w:bookmarkEnd w:id="48"/>
      <w:bookmarkEnd w:id="49"/>
      <w:bookmarkEnd w:id="50"/>
      <w:bookmarkEnd w:id="51"/>
    </w:p>
    <w:p w:rsidR="00481206" w:rsidRPr="00481206" w:rsidRDefault="00481206" w:rsidP="00481206">
      <w:pPr>
        <w:spacing w:line="360" w:lineRule="auto"/>
        <w:ind w:firstLineChars="200" w:firstLine="480"/>
        <w:rPr>
          <w:rFonts w:ascii="宋体" w:hAnsi="宋体" w:cs="宋体"/>
          <w:sz w:val="24"/>
        </w:rPr>
      </w:pPr>
      <w:r w:rsidRPr="00481206">
        <w:rPr>
          <w:rFonts w:ascii="宋体" w:hAnsi="宋体" w:cs="宋体" w:hint="eastAsia"/>
          <w:sz w:val="24"/>
        </w:rPr>
        <w:t>为形成对衍生金融产品基本问题、研究方法、思维方式和理论体系等方面的有效认知，在开设《</w:t>
      </w:r>
      <w:r w:rsidRPr="00481206">
        <w:rPr>
          <w:rFonts w:hint="eastAsia"/>
          <w:sz w:val="24"/>
        </w:rPr>
        <w:t>衍生金融产品概论</w:t>
      </w:r>
      <w:r w:rsidRPr="00481206">
        <w:rPr>
          <w:rFonts w:ascii="宋体" w:hAnsi="宋体" w:cs="宋体" w:hint="eastAsia"/>
          <w:sz w:val="24"/>
        </w:rPr>
        <w:t>》课程之前，必要开设的理论课程主要是《经济数学》、《金融学》、《投资学》、《经济学》和《会计学》等。正式预修课程的安排如表4-1所示：</w:t>
      </w:r>
    </w:p>
    <w:p w:rsidR="00481206" w:rsidRPr="00481206" w:rsidRDefault="00481206" w:rsidP="005318D5">
      <w:pPr>
        <w:spacing w:afterLines="50" w:line="360" w:lineRule="auto"/>
        <w:ind w:firstLineChars="200" w:firstLine="420"/>
        <w:jc w:val="center"/>
        <w:rPr>
          <w:rFonts w:ascii="黑体" w:eastAsia="黑体" w:hAnsi="黑体" w:cs="黑体"/>
          <w:bCs/>
          <w:szCs w:val="21"/>
        </w:rPr>
      </w:pPr>
      <w:r w:rsidRPr="00481206">
        <w:rPr>
          <w:rFonts w:ascii="黑体" w:eastAsia="黑体" w:hAnsi="黑体" w:cs="黑体" w:hint="eastAsia"/>
          <w:bCs/>
          <w:szCs w:val="21"/>
        </w:rPr>
        <w:t>表4-1   《</w:t>
      </w:r>
      <w:r w:rsidRPr="00481206">
        <w:rPr>
          <w:rFonts w:ascii="黑体" w:eastAsia="黑体" w:hAnsi="黑体" w:hint="eastAsia"/>
          <w:szCs w:val="21"/>
        </w:rPr>
        <w:t>衍生金融产品概论</w:t>
      </w:r>
      <w:r w:rsidRPr="00481206">
        <w:rPr>
          <w:rFonts w:ascii="黑体" w:eastAsia="黑体" w:hAnsi="黑体" w:cs="黑体" w:hint="eastAsia"/>
          <w:bCs/>
          <w:szCs w:val="21"/>
        </w:rPr>
        <w:t>》先修课程安排与解释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36"/>
        <w:gridCol w:w="5294"/>
      </w:tblGrid>
      <w:tr w:rsidR="00481206" w:rsidRPr="00481206" w:rsidTr="00CF0F4C">
        <w:trPr>
          <w:jc w:val="center"/>
        </w:trPr>
        <w:tc>
          <w:tcPr>
            <w:tcW w:w="3036" w:type="dxa"/>
            <w:vAlign w:val="center"/>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课程</w:t>
            </w:r>
          </w:p>
        </w:tc>
        <w:tc>
          <w:tcPr>
            <w:tcW w:w="5294" w:type="dxa"/>
            <w:vAlign w:val="center"/>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关系地位</w:t>
            </w:r>
          </w:p>
        </w:tc>
      </w:tr>
      <w:tr w:rsidR="00481206" w:rsidRPr="00481206" w:rsidTr="00CF0F4C">
        <w:trPr>
          <w:jc w:val="center"/>
        </w:trPr>
        <w:tc>
          <w:tcPr>
            <w:tcW w:w="3036" w:type="dxa"/>
            <w:vAlign w:val="center"/>
          </w:tcPr>
          <w:p w:rsidR="00481206" w:rsidRPr="00481206" w:rsidRDefault="00481206" w:rsidP="00CF0F4C">
            <w:pPr>
              <w:spacing w:line="360" w:lineRule="auto"/>
              <w:jc w:val="center"/>
              <w:rPr>
                <w:rFonts w:ascii="宋体" w:hAnsi="宋体" w:cs="宋体"/>
                <w:sz w:val="24"/>
              </w:rPr>
            </w:pPr>
            <w:r w:rsidRPr="00481206">
              <w:rPr>
                <w:rFonts w:ascii="宋体" w:hAnsi="宋体" w:cs="宋体" w:hint="eastAsia"/>
                <w:sz w:val="24"/>
              </w:rPr>
              <w:t>《经济数学》</w:t>
            </w:r>
          </w:p>
        </w:tc>
        <w:tc>
          <w:tcPr>
            <w:tcW w:w="5294" w:type="dxa"/>
          </w:tcPr>
          <w:p w:rsidR="00481206" w:rsidRPr="00481206" w:rsidRDefault="00481206" w:rsidP="00CF0F4C">
            <w:pPr>
              <w:numPr>
                <w:ilvl w:val="0"/>
                <w:numId w:val="2"/>
              </w:numPr>
              <w:spacing w:line="360" w:lineRule="auto"/>
              <w:jc w:val="left"/>
              <w:rPr>
                <w:rFonts w:ascii="宋体" w:hAnsi="宋体" w:cs="宋体"/>
                <w:sz w:val="24"/>
              </w:rPr>
            </w:pPr>
            <w:r w:rsidRPr="00481206">
              <w:rPr>
                <w:rFonts w:ascii="宋体" w:hAnsi="宋体" w:cs="宋体" w:hint="eastAsia"/>
                <w:sz w:val="24"/>
              </w:rPr>
              <w:t>具有工具性功能，是</w:t>
            </w:r>
            <w:r w:rsidRPr="00481206">
              <w:rPr>
                <w:rFonts w:hint="eastAsia"/>
                <w:sz w:val="24"/>
              </w:rPr>
              <w:t>衍生金融产品概论</w:t>
            </w:r>
            <w:r w:rsidRPr="00481206">
              <w:rPr>
                <w:rFonts w:ascii="宋体" w:hAnsi="宋体" w:cs="宋体" w:hint="eastAsia"/>
                <w:sz w:val="24"/>
              </w:rPr>
              <w:t>研究方法运用及问题解析中不可或缺的辅助手段。</w:t>
            </w:r>
          </w:p>
        </w:tc>
      </w:tr>
      <w:tr w:rsidR="00481206" w:rsidRPr="00481206" w:rsidTr="00CF0F4C">
        <w:trPr>
          <w:jc w:val="center"/>
        </w:trPr>
        <w:tc>
          <w:tcPr>
            <w:tcW w:w="3036" w:type="dxa"/>
            <w:vAlign w:val="center"/>
          </w:tcPr>
          <w:p w:rsidR="00481206" w:rsidRPr="00481206" w:rsidRDefault="00481206" w:rsidP="00CF0F4C">
            <w:pPr>
              <w:spacing w:line="360" w:lineRule="auto"/>
              <w:jc w:val="center"/>
              <w:rPr>
                <w:rFonts w:ascii="宋体" w:hAnsi="宋体" w:cs="宋体"/>
                <w:sz w:val="24"/>
              </w:rPr>
            </w:pPr>
            <w:r w:rsidRPr="00481206">
              <w:rPr>
                <w:rFonts w:ascii="宋体" w:hAnsi="宋体" w:cs="宋体" w:hint="eastAsia"/>
                <w:sz w:val="24"/>
              </w:rPr>
              <w:t>《经济学》</w:t>
            </w:r>
          </w:p>
        </w:tc>
        <w:tc>
          <w:tcPr>
            <w:tcW w:w="5294" w:type="dxa"/>
          </w:tcPr>
          <w:p w:rsidR="00481206" w:rsidRPr="00481206" w:rsidRDefault="00481206" w:rsidP="00CF0F4C">
            <w:pPr>
              <w:numPr>
                <w:ilvl w:val="0"/>
                <w:numId w:val="2"/>
              </w:numPr>
              <w:spacing w:line="360" w:lineRule="auto"/>
              <w:jc w:val="left"/>
              <w:rPr>
                <w:rFonts w:ascii="宋体" w:hAnsi="宋体" w:cs="宋体"/>
                <w:sz w:val="24"/>
              </w:rPr>
            </w:pPr>
            <w:r w:rsidRPr="00481206">
              <w:rPr>
                <w:rFonts w:ascii="宋体" w:hAnsi="宋体" w:cs="宋体" w:hint="eastAsia"/>
                <w:sz w:val="24"/>
              </w:rPr>
              <w:t>培养经济学的理性思维、思辨能力，开启《</w:t>
            </w:r>
            <w:r w:rsidRPr="00481206">
              <w:rPr>
                <w:rFonts w:hint="eastAsia"/>
                <w:sz w:val="24"/>
              </w:rPr>
              <w:t>衍生金融产品概论</w:t>
            </w:r>
            <w:r w:rsidRPr="00481206">
              <w:rPr>
                <w:rFonts w:ascii="宋体" w:hAnsi="宋体" w:cs="宋体" w:hint="eastAsia"/>
                <w:sz w:val="24"/>
              </w:rPr>
              <w:t>》大门的启蒙课程。</w:t>
            </w:r>
          </w:p>
        </w:tc>
      </w:tr>
      <w:tr w:rsidR="00481206" w:rsidRPr="00481206" w:rsidTr="00CF0F4C">
        <w:trPr>
          <w:jc w:val="center"/>
        </w:trPr>
        <w:tc>
          <w:tcPr>
            <w:tcW w:w="3036" w:type="dxa"/>
            <w:vAlign w:val="center"/>
          </w:tcPr>
          <w:p w:rsidR="00481206" w:rsidRPr="00481206" w:rsidRDefault="00481206" w:rsidP="00CF0F4C">
            <w:pPr>
              <w:spacing w:line="360" w:lineRule="auto"/>
              <w:jc w:val="center"/>
              <w:rPr>
                <w:rFonts w:ascii="宋体" w:hAnsi="宋体" w:cs="宋体"/>
                <w:sz w:val="24"/>
              </w:rPr>
            </w:pPr>
            <w:r w:rsidRPr="00481206">
              <w:rPr>
                <w:rFonts w:ascii="宋体" w:hAnsi="宋体" w:cs="宋体" w:hint="eastAsia"/>
                <w:sz w:val="24"/>
              </w:rPr>
              <w:t>《金融学》</w:t>
            </w:r>
          </w:p>
        </w:tc>
        <w:tc>
          <w:tcPr>
            <w:tcW w:w="5294" w:type="dxa"/>
          </w:tcPr>
          <w:p w:rsidR="00481206" w:rsidRPr="00481206" w:rsidRDefault="00481206" w:rsidP="00CF0F4C">
            <w:pPr>
              <w:numPr>
                <w:ilvl w:val="0"/>
                <w:numId w:val="2"/>
              </w:numPr>
              <w:spacing w:line="360" w:lineRule="auto"/>
              <w:jc w:val="left"/>
              <w:rPr>
                <w:rFonts w:ascii="宋体" w:hAnsi="宋体" w:cs="宋体"/>
                <w:sz w:val="24"/>
              </w:rPr>
            </w:pPr>
            <w:r w:rsidRPr="00481206">
              <w:rPr>
                <w:rFonts w:ascii="宋体" w:hAnsi="宋体" w:cs="宋体" w:hint="eastAsia"/>
                <w:sz w:val="24"/>
              </w:rPr>
              <w:t>有助于提升学生对金融理论的理解，增进学员对宏微观经济问题的分析能力。</w:t>
            </w:r>
          </w:p>
        </w:tc>
      </w:tr>
      <w:tr w:rsidR="00481206" w:rsidRPr="00481206" w:rsidTr="00CF0F4C">
        <w:trPr>
          <w:jc w:val="center"/>
        </w:trPr>
        <w:tc>
          <w:tcPr>
            <w:tcW w:w="3036" w:type="dxa"/>
            <w:vAlign w:val="center"/>
          </w:tcPr>
          <w:p w:rsidR="00481206" w:rsidRPr="00481206" w:rsidRDefault="00481206" w:rsidP="00CF0F4C">
            <w:pPr>
              <w:spacing w:line="360" w:lineRule="auto"/>
              <w:jc w:val="center"/>
              <w:rPr>
                <w:rFonts w:ascii="宋体" w:hAnsi="宋体" w:cs="宋体"/>
                <w:sz w:val="24"/>
              </w:rPr>
            </w:pPr>
            <w:r w:rsidRPr="00481206">
              <w:rPr>
                <w:rFonts w:ascii="宋体" w:hAnsi="宋体" w:cs="宋体" w:hint="eastAsia"/>
                <w:sz w:val="24"/>
              </w:rPr>
              <w:t>《投资学》</w:t>
            </w:r>
          </w:p>
        </w:tc>
        <w:tc>
          <w:tcPr>
            <w:tcW w:w="5294" w:type="dxa"/>
          </w:tcPr>
          <w:p w:rsidR="00481206" w:rsidRPr="00481206" w:rsidRDefault="00481206" w:rsidP="00CF0F4C">
            <w:pPr>
              <w:numPr>
                <w:ilvl w:val="0"/>
                <w:numId w:val="2"/>
              </w:numPr>
              <w:spacing w:line="360" w:lineRule="auto"/>
              <w:jc w:val="left"/>
              <w:rPr>
                <w:rFonts w:ascii="宋体" w:hAnsi="宋体" w:cs="宋体"/>
                <w:sz w:val="24"/>
              </w:rPr>
            </w:pPr>
            <w:r w:rsidRPr="00481206">
              <w:rPr>
                <w:rFonts w:ascii="宋体" w:hAnsi="宋体" w:cs="宋体" w:hint="eastAsia"/>
                <w:sz w:val="24"/>
              </w:rPr>
              <w:t>有助于提升学生对投资理论的理解，增进学员对宏微观经济问题的分析能力。</w:t>
            </w:r>
          </w:p>
        </w:tc>
      </w:tr>
    </w:tbl>
    <w:p w:rsidR="00481206" w:rsidRPr="00481206" w:rsidRDefault="00481206" w:rsidP="00481206">
      <w:bookmarkStart w:id="52" w:name="_Toc403319293"/>
      <w:bookmarkStart w:id="53" w:name="_Toc18677"/>
      <w:bookmarkStart w:id="54" w:name="_Toc7517"/>
      <w:bookmarkStart w:id="55" w:name="_Toc6847"/>
    </w:p>
    <w:p w:rsidR="00481206" w:rsidRPr="00481206" w:rsidRDefault="00481206" w:rsidP="00481206"/>
    <w:p w:rsidR="00481206" w:rsidRPr="00481206" w:rsidRDefault="00481206" w:rsidP="00481206"/>
    <w:p w:rsidR="00481206" w:rsidRPr="00481206" w:rsidRDefault="00481206" w:rsidP="00481206"/>
    <w:p w:rsidR="00481206" w:rsidRPr="00481206" w:rsidRDefault="00481206" w:rsidP="00481206"/>
    <w:p w:rsidR="00481206" w:rsidRPr="00481206" w:rsidRDefault="00481206" w:rsidP="00481206"/>
    <w:p w:rsidR="00481206" w:rsidRPr="00481206" w:rsidRDefault="00481206" w:rsidP="00481206"/>
    <w:p w:rsidR="00481206" w:rsidRPr="00481206" w:rsidRDefault="00481206" w:rsidP="00481206"/>
    <w:p w:rsidR="00481206" w:rsidRPr="00481206" w:rsidRDefault="00481206" w:rsidP="00481206"/>
    <w:p w:rsidR="00481206" w:rsidRPr="00481206" w:rsidRDefault="00481206" w:rsidP="00481206"/>
    <w:p w:rsidR="00481206" w:rsidRPr="00481206" w:rsidRDefault="00481206" w:rsidP="00481206"/>
    <w:p w:rsidR="00481206" w:rsidRPr="00481206" w:rsidRDefault="00481206" w:rsidP="00481206"/>
    <w:p w:rsidR="00481206" w:rsidRPr="00481206" w:rsidRDefault="00481206" w:rsidP="00481206"/>
    <w:p w:rsidR="00481206" w:rsidRPr="00481206" w:rsidRDefault="00481206" w:rsidP="00481206"/>
    <w:p w:rsidR="00481206" w:rsidRPr="00481206" w:rsidRDefault="00481206" w:rsidP="00481206"/>
    <w:p w:rsidR="00481206" w:rsidRPr="00481206" w:rsidRDefault="00481206" w:rsidP="00481206"/>
    <w:p w:rsidR="00481206" w:rsidRPr="00481206" w:rsidRDefault="00481206" w:rsidP="00481206">
      <w:pPr>
        <w:pStyle w:val="2"/>
        <w:spacing w:before="312" w:after="312" w:line="360" w:lineRule="auto"/>
        <w:jc w:val="center"/>
        <w:rPr>
          <w:rFonts w:ascii="黑体" w:hAnsi="黑体" w:cs="宋体"/>
          <w:sz w:val="44"/>
          <w:szCs w:val="44"/>
        </w:rPr>
      </w:pPr>
      <w:bookmarkStart w:id="56" w:name="_Toc474271568"/>
      <w:r w:rsidRPr="00481206">
        <w:rPr>
          <w:rFonts w:ascii="黑体" w:hAnsi="黑体" w:cs="宋体" w:hint="eastAsia"/>
          <w:sz w:val="44"/>
          <w:szCs w:val="44"/>
        </w:rPr>
        <w:lastRenderedPageBreak/>
        <w:t>5 课程目标</w:t>
      </w:r>
      <w:bookmarkEnd w:id="52"/>
      <w:bookmarkEnd w:id="53"/>
      <w:bookmarkEnd w:id="54"/>
      <w:bookmarkEnd w:id="55"/>
      <w:bookmarkEnd w:id="56"/>
    </w:p>
    <w:p w:rsidR="00481206" w:rsidRPr="00481206" w:rsidRDefault="00481206" w:rsidP="00481206">
      <w:pPr>
        <w:spacing w:line="360" w:lineRule="auto"/>
        <w:ind w:firstLineChars="200" w:firstLine="480"/>
        <w:rPr>
          <w:rFonts w:ascii="宋体" w:hAnsi="宋体" w:cs="宋体"/>
          <w:sz w:val="24"/>
        </w:rPr>
      </w:pPr>
      <w:r w:rsidRPr="00481206">
        <w:rPr>
          <w:rFonts w:ascii="宋体" w:hAnsi="宋体" w:cs="宋体" w:hint="eastAsia"/>
          <w:sz w:val="24"/>
        </w:rPr>
        <w:t>《衍生金融产品概论》课程教学目标的确定严格遵循着相关的教学理念，目标体系的确立旨在有效规范“以人为本”的教学行为，并将“德才双馨”的人才培养置于目标管理的有效路径。</w:t>
      </w:r>
    </w:p>
    <w:p w:rsidR="00481206" w:rsidRPr="00481206" w:rsidRDefault="00481206" w:rsidP="00481206">
      <w:pPr>
        <w:widowControl/>
        <w:spacing w:line="360" w:lineRule="auto"/>
        <w:ind w:firstLineChars="200" w:firstLine="480"/>
        <w:jc w:val="left"/>
        <w:rPr>
          <w:rFonts w:cs="宋体"/>
          <w:kern w:val="0"/>
          <w:sz w:val="24"/>
        </w:rPr>
      </w:pPr>
      <w:r w:rsidRPr="00481206">
        <w:rPr>
          <w:rFonts w:cs="宋体" w:hint="eastAsia"/>
          <w:kern w:val="0"/>
          <w:sz w:val="24"/>
        </w:rPr>
        <w:t>要求学生熟练掌握衍生工具的基本原理，同时对衍生工具的定价方法和现实应用有一定理解。在原理方面，要求学生掌握各种衍生工具的概念、特征和相应的市场运作机制。在定价方面，要求学生对无套利定价、风险中性定价等方法有一定的理解，对于其数学推导过程只要求有一定的了解。在此基础上，培养学生一定的应用这些理论与原理的能力。</w:t>
      </w:r>
    </w:p>
    <w:p w:rsidR="00481206" w:rsidRPr="00481206" w:rsidRDefault="00481206" w:rsidP="00481206">
      <w:pPr>
        <w:widowControl/>
        <w:spacing w:line="360" w:lineRule="auto"/>
        <w:ind w:firstLineChars="200" w:firstLine="480"/>
        <w:jc w:val="left"/>
        <w:rPr>
          <w:rFonts w:cs="宋体"/>
          <w:kern w:val="0"/>
          <w:sz w:val="24"/>
        </w:rPr>
      </w:pPr>
    </w:p>
    <w:p w:rsidR="00481206" w:rsidRPr="00481206" w:rsidRDefault="00481206" w:rsidP="00481206">
      <w:pPr>
        <w:widowControl/>
        <w:spacing w:line="360" w:lineRule="auto"/>
        <w:ind w:firstLineChars="200" w:firstLine="480"/>
        <w:jc w:val="left"/>
        <w:rPr>
          <w:rFonts w:cs="宋体"/>
          <w:kern w:val="0"/>
          <w:sz w:val="24"/>
        </w:rPr>
      </w:pPr>
    </w:p>
    <w:p w:rsidR="00481206" w:rsidRPr="00481206" w:rsidRDefault="00481206" w:rsidP="00481206">
      <w:pPr>
        <w:widowControl/>
        <w:spacing w:line="360" w:lineRule="auto"/>
        <w:ind w:firstLineChars="200" w:firstLine="480"/>
        <w:jc w:val="left"/>
        <w:rPr>
          <w:rFonts w:cs="宋体"/>
          <w:kern w:val="0"/>
          <w:sz w:val="24"/>
        </w:rPr>
      </w:pPr>
    </w:p>
    <w:p w:rsidR="00481206" w:rsidRPr="00481206" w:rsidRDefault="00481206" w:rsidP="00481206">
      <w:pPr>
        <w:widowControl/>
        <w:spacing w:line="360" w:lineRule="auto"/>
        <w:ind w:firstLineChars="200" w:firstLine="480"/>
        <w:jc w:val="left"/>
        <w:rPr>
          <w:rFonts w:cs="宋体"/>
          <w:kern w:val="0"/>
          <w:sz w:val="24"/>
        </w:rPr>
      </w:pPr>
    </w:p>
    <w:p w:rsidR="00481206" w:rsidRPr="00481206" w:rsidRDefault="00481206" w:rsidP="00481206">
      <w:pPr>
        <w:widowControl/>
        <w:spacing w:line="360" w:lineRule="auto"/>
        <w:ind w:firstLineChars="200" w:firstLine="480"/>
        <w:jc w:val="left"/>
        <w:rPr>
          <w:rFonts w:cs="宋体"/>
          <w:kern w:val="0"/>
          <w:sz w:val="24"/>
        </w:rPr>
      </w:pPr>
    </w:p>
    <w:p w:rsidR="00481206" w:rsidRPr="00481206" w:rsidRDefault="00481206" w:rsidP="00481206">
      <w:pPr>
        <w:widowControl/>
        <w:spacing w:line="360" w:lineRule="auto"/>
        <w:ind w:firstLineChars="200" w:firstLine="480"/>
        <w:jc w:val="left"/>
        <w:rPr>
          <w:rFonts w:cs="宋体"/>
          <w:kern w:val="0"/>
          <w:sz w:val="24"/>
        </w:rPr>
      </w:pPr>
    </w:p>
    <w:p w:rsidR="00481206" w:rsidRPr="00481206" w:rsidRDefault="00481206" w:rsidP="00481206">
      <w:pPr>
        <w:widowControl/>
        <w:spacing w:line="360" w:lineRule="auto"/>
        <w:ind w:firstLineChars="200" w:firstLine="480"/>
        <w:jc w:val="left"/>
        <w:rPr>
          <w:rFonts w:cs="宋体"/>
          <w:kern w:val="0"/>
          <w:sz w:val="24"/>
        </w:rPr>
      </w:pPr>
    </w:p>
    <w:p w:rsidR="00481206" w:rsidRPr="00481206" w:rsidRDefault="00481206" w:rsidP="00481206">
      <w:pPr>
        <w:widowControl/>
        <w:spacing w:line="360" w:lineRule="auto"/>
        <w:ind w:firstLineChars="200" w:firstLine="480"/>
        <w:jc w:val="left"/>
        <w:rPr>
          <w:rFonts w:cs="宋体"/>
          <w:kern w:val="0"/>
          <w:sz w:val="24"/>
        </w:rPr>
      </w:pPr>
    </w:p>
    <w:p w:rsidR="00481206" w:rsidRPr="00481206" w:rsidRDefault="00481206" w:rsidP="00481206">
      <w:pPr>
        <w:widowControl/>
        <w:spacing w:line="360" w:lineRule="auto"/>
        <w:ind w:firstLineChars="200" w:firstLine="480"/>
        <w:jc w:val="left"/>
        <w:rPr>
          <w:rFonts w:cs="宋体"/>
          <w:kern w:val="0"/>
          <w:sz w:val="24"/>
        </w:rPr>
      </w:pPr>
    </w:p>
    <w:p w:rsidR="00481206" w:rsidRPr="00481206" w:rsidRDefault="00481206" w:rsidP="00481206">
      <w:pPr>
        <w:widowControl/>
        <w:spacing w:line="360" w:lineRule="auto"/>
        <w:ind w:firstLineChars="200" w:firstLine="480"/>
        <w:jc w:val="left"/>
        <w:rPr>
          <w:rFonts w:cs="宋体"/>
          <w:kern w:val="0"/>
          <w:sz w:val="24"/>
        </w:rPr>
      </w:pPr>
    </w:p>
    <w:p w:rsidR="00481206" w:rsidRPr="00481206" w:rsidRDefault="00481206" w:rsidP="00481206">
      <w:pPr>
        <w:widowControl/>
        <w:spacing w:line="360" w:lineRule="auto"/>
        <w:ind w:firstLineChars="200" w:firstLine="480"/>
        <w:jc w:val="left"/>
        <w:rPr>
          <w:rFonts w:cs="宋体"/>
          <w:kern w:val="0"/>
          <w:sz w:val="24"/>
        </w:rPr>
      </w:pPr>
    </w:p>
    <w:p w:rsidR="00481206" w:rsidRPr="00481206" w:rsidRDefault="00481206" w:rsidP="00481206">
      <w:pPr>
        <w:widowControl/>
        <w:spacing w:line="360" w:lineRule="auto"/>
        <w:ind w:firstLineChars="200" w:firstLine="480"/>
        <w:jc w:val="left"/>
        <w:rPr>
          <w:rFonts w:cs="宋体"/>
          <w:kern w:val="0"/>
          <w:sz w:val="24"/>
        </w:rPr>
      </w:pPr>
    </w:p>
    <w:p w:rsidR="00481206" w:rsidRPr="00481206" w:rsidRDefault="00481206" w:rsidP="00481206">
      <w:pPr>
        <w:widowControl/>
        <w:spacing w:line="360" w:lineRule="auto"/>
        <w:ind w:firstLineChars="200" w:firstLine="480"/>
        <w:jc w:val="left"/>
        <w:rPr>
          <w:rFonts w:cs="宋体"/>
          <w:kern w:val="0"/>
          <w:sz w:val="24"/>
        </w:rPr>
      </w:pPr>
    </w:p>
    <w:p w:rsidR="00481206" w:rsidRPr="00481206" w:rsidRDefault="00481206" w:rsidP="00481206">
      <w:pPr>
        <w:widowControl/>
        <w:spacing w:line="360" w:lineRule="auto"/>
        <w:ind w:firstLineChars="200" w:firstLine="480"/>
        <w:jc w:val="left"/>
        <w:rPr>
          <w:rFonts w:cs="宋体"/>
          <w:kern w:val="0"/>
          <w:sz w:val="24"/>
        </w:rPr>
      </w:pPr>
    </w:p>
    <w:p w:rsidR="00481206" w:rsidRPr="00481206" w:rsidRDefault="00481206" w:rsidP="00481206">
      <w:pPr>
        <w:widowControl/>
        <w:spacing w:line="360" w:lineRule="auto"/>
        <w:ind w:firstLineChars="200" w:firstLine="480"/>
        <w:jc w:val="left"/>
        <w:rPr>
          <w:rFonts w:cs="宋体"/>
          <w:kern w:val="0"/>
          <w:sz w:val="24"/>
        </w:rPr>
      </w:pPr>
    </w:p>
    <w:p w:rsidR="00481206" w:rsidRPr="00481206" w:rsidRDefault="00481206" w:rsidP="00481206">
      <w:pPr>
        <w:widowControl/>
        <w:spacing w:line="360" w:lineRule="auto"/>
        <w:ind w:firstLineChars="200" w:firstLine="480"/>
        <w:jc w:val="left"/>
        <w:rPr>
          <w:rFonts w:cs="宋体"/>
          <w:kern w:val="0"/>
          <w:sz w:val="24"/>
        </w:rPr>
      </w:pPr>
    </w:p>
    <w:p w:rsidR="00481206" w:rsidRPr="00481206" w:rsidRDefault="00481206" w:rsidP="00481206">
      <w:pPr>
        <w:widowControl/>
        <w:spacing w:line="360" w:lineRule="auto"/>
        <w:ind w:firstLineChars="200" w:firstLine="480"/>
        <w:jc w:val="left"/>
        <w:rPr>
          <w:rFonts w:cs="宋体"/>
          <w:kern w:val="0"/>
          <w:sz w:val="24"/>
        </w:rPr>
      </w:pPr>
    </w:p>
    <w:p w:rsidR="00481206" w:rsidRPr="00481206" w:rsidRDefault="00481206" w:rsidP="00481206">
      <w:pPr>
        <w:widowControl/>
        <w:spacing w:line="360" w:lineRule="auto"/>
        <w:ind w:firstLineChars="200" w:firstLine="480"/>
        <w:jc w:val="left"/>
        <w:rPr>
          <w:rFonts w:cs="宋体"/>
          <w:kern w:val="0"/>
          <w:sz w:val="24"/>
        </w:rPr>
      </w:pPr>
    </w:p>
    <w:p w:rsidR="00481206" w:rsidRPr="00481206" w:rsidRDefault="00481206" w:rsidP="00481206">
      <w:pPr>
        <w:widowControl/>
        <w:spacing w:line="360" w:lineRule="auto"/>
        <w:ind w:firstLineChars="200" w:firstLine="480"/>
        <w:jc w:val="left"/>
        <w:rPr>
          <w:rFonts w:ascii="宋体" w:hAnsi="宋体" w:cs="宋体"/>
          <w:kern w:val="0"/>
          <w:sz w:val="24"/>
        </w:rPr>
      </w:pPr>
    </w:p>
    <w:p w:rsidR="00481206" w:rsidRPr="00481206" w:rsidRDefault="00481206" w:rsidP="00481206">
      <w:pPr>
        <w:pStyle w:val="2"/>
        <w:spacing w:before="312" w:after="312" w:line="360" w:lineRule="auto"/>
        <w:jc w:val="center"/>
        <w:rPr>
          <w:rFonts w:ascii="黑体" w:hAnsi="黑体" w:cs="宋体"/>
          <w:sz w:val="44"/>
          <w:szCs w:val="24"/>
        </w:rPr>
      </w:pPr>
      <w:bookmarkStart w:id="57" w:name="_Toc292051295"/>
      <w:bookmarkStart w:id="58" w:name="_Toc291744133"/>
      <w:bookmarkStart w:id="59" w:name="_Toc292051296"/>
      <w:bookmarkStart w:id="60" w:name="_Toc291744134"/>
      <w:bookmarkStart w:id="61" w:name="_Toc403319294"/>
      <w:bookmarkStart w:id="62" w:name="_Toc21082"/>
      <w:bookmarkStart w:id="63" w:name="_Toc27618"/>
      <w:bookmarkStart w:id="64" w:name="_Toc11052"/>
      <w:bookmarkEnd w:id="57"/>
      <w:bookmarkEnd w:id="58"/>
      <w:bookmarkEnd w:id="59"/>
      <w:bookmarkEnd w:id="60"/>
      <w:r w:rsidRPr="00481206">
        <w:rPr>
          <w:rFonts w:ascii="宋体" w:eastAsia="宋体" w:hAnsi="宋体" w:cs="宋体" w:hint="eastAsia"/>
          <w:sz w:val="24"/>
          <w:szCs w:val="24"/>
        </w:rPr>
        <w:br w:type="page"/>
      </w:r>
      <w:bookmarkStart w:id="65" w:name="_Toc474271569"/>
      <w:r w:rsidRPr="00481206">
        <w:rPr>
          <w:rFonts w:ascii="黑体" w:hAnsi="黑体" w:cs="宋体" w:hint="eastAsia"/>
          <w:sz w:val="44"/>
          <w:szCs w:val="44"/>
        </w:rPr>
        <w:lastRenderedPageBreak/>
        <w:t>6 课程内容</w:t>
      </w:r>
      <w:bookmarkEnd w:id="61"/>
      <w:bookmarkEnd w:id="62"/>
      <w:bookmarkEnd w:id="63"/>
      <w:bookmarkEnd w:id="64"/>
      <w:bookmarkEnd w:id="65"/>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结合《</w:t>
      </w:r>
      <w:r w:rsidRPr="00481206">
        <w:rPr>
          <w:rFonts w:hint="eastAsia"/>
          <w:sz w:val="24"/>
        </w:rPr>
        <w:t>衍生金融产品概论</w:t>
      </w:r>
      <w:r w:rsidRPr="00481206">
        <w:rPr>
          <w:rFonts w:ascii="宋体" w:hAnsi="宋体" w:cs="宋体" w:hint="eastAsia"/>
          <w:sz w:val="24"/>
        </w:rPr>
        <w:t>》本身的学科性质，及课程教学对象的专业特征，在长期课程教学经验实践的基础上，对《</w:t>
      </w:r>
      <w:r w:rsidRPr="00481206">
        <w:rPr>
          <w:rFonts w:hint="eastAsia"/>
          <w:sz w:val="24"/>
        </w:rPr>
        <w:t>衍生金融产品概论</w:t>
      </w:r>
      <w:r w:rsidRPr="00481206">
        <w:rPr>
          <w:rFonts w:ascii="宋体" w:hAnsi="宋体" w:cs="宋体" w:hint="eastAsia"/>
          <w:sz w:val="24"/>
        </w:rPr>
        <w:t>》课程教学内容及学时安排如下，如表6-1所示：</w:t>
      </w:r>
    </w:p>
    <w:p w:rsidR="00481206" w:rsidRPr="00481206" w:rsidRDefault="00481206" w:rsidP="005318D5">
      <w:pPr>
        <w:spacing w:afterLines="50" w:line="360" w:lineRule="auto"/>
        <w:jc w:val="center"/>
        <w:rPr>
          <w:rFonts w:ascii="黑体" w:eastAsia="黑体" w:hAnsi="黑体" w:cs="黑体"/>
          <w:bCs/>
          <w:szCs w:val="21"/>
        </w:rPr>
      </w:pPr>
      <w:r w:rsidRPr="00481206">
        <w:rPr>
          <w:rFonts w:ascii="黑体" w:eastAsia="黑体" w:hAnsi="黑体" w:cs="黑体" w:hint="eastAsia"/>
          <w:bCs/>
          <w:szCs w:val="21"/>
        </w:rPr>
        <w:t>表6-1  《</w:t>
      </w:r>
      <w:r w:rsidRPr="00481206">
        <w:rPr>
          <w:rFonts w:ascii="黑体" w:eastAsia="黑体" w:hAnsi="黑体" w:hint="eastAsia"/>
          <w:szCs w:val="21"/>
        </w:rPr>
        <w:t>衍生金融产品概论</w:t>
      </w:r>
      <w:r w:rsidRPr="00481206">
        <w:rPr>
          <w:rFonts w:ascii="黑体" w:eastAsia="黑体" w:hAnsi="黑体" w:cs="黑体" w:hint="eastAsia"/>
          <w:bCs/>
          <w:szCs w:val="21"/>
        </w:rPr>
        <w:t>》课程内容及学时安排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8"/>
        <w:gridCol w:w="5145"/>
        <w:gridCol w:w="1519"/>
      </w:tblGrid>
      <w:tr w:rsidR="00481206" w:rsidRPr="00481206" w:rsidTr="00CF0F4C">
        <w:tc>
          <w:tcPr>
            <w:tcW w:w="1998" w:type="dxa"/>
            <w:vAlign w:val="center"/>
          </w:tcPr>
          <w:p w:rsidR="00481206" w:rsidRPr="00481206" w:rsidRDefault="00481206" w:rsidP="00CF0F4C">
            <w:pPr>
              <w:spacing w:line="360" w:lineRule="auto"/>
              <w:jc w:val="center"/>
              <w:rPr>
                <w:rFonts w:ascii="宋体" w:hAnsi="宋体" w:cs="宋体"/>
                <w:sz w:val="24"/>
              </w:rPr>
            </w:pPr>
            <w:r w:rsidRPr="00481206">
              <w:rPr>
                <w:rFonts w:ascii="宋体" w:hAnsi="宋体" w:cs="宋体" w:hint="eastAsia"/>
                <w:b/>
                <w:sz w:val="24"/>
              </w:rPr>
              <w:t>6.1章节</w:t>
            </w:r>
          </w:p>
        </w:tc>
        <w:tc>
          <w:tcPr>
            <w:tcW w:w="5145" w:type="dxa"/>
            <w:vAlign w:val="center"/>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6.2教学内容与特殊内容注释</w:t>
            </w:r>
          </w:p>
        </w:tc>
        <w:tc>
          <w:tcPr>
            <w:tcW w:w="1519" w:type="dxa"/>
            <w:vAlign w:val="center"/>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6.3学时</w:t>
            </w:r>
          </w:p>
        </w:tc>
      </w:tr>
      <w:tr w:rsidR="00481206" w:rsidRPr="00481206" w:rsidTr="00CF0F4C">
        <w:tc>
          <w:tcPr>
            <w:tcW w:w="1998" w:type="dxa"/>
            <w:vAlign w:val="center"/>
          </w:tcPr>
          <w:p w:rsidR="00481206" w:rsidRPr="00481206" w:rsidRDefault="00481206" w:rsidP="00CF0F4C">
            <w:pPr>
              <w:pStyle w:val="af2"/>
              <w:spacing w:line="360" w:lineRule="auto"/>
              <w:ind w:firstLineChars="0" w:firstLine="0"/>
              <w:rPr>
                <w:rFonts w:ascii="宋体" w:hAnsi="宋体" w:cs="宋体"/>
                <w:szCs w:val="21"/>
              </w:rPr>
            </w:pPr>
            <w:r w:rsidRPr="00481206">
              <w:rPr>
                <w:rFonts w:ascii="宋体" w:hAnsi="宋体" w:hint="eastAsia"/>
                <w:szCs w:val="21"/>
              </w:rPr>
              <w:t xml:space="preserve">绪论 </w:t>
            </w:r>
          </w:p>
        </w:tc>
        <w:tc>
          <w:tcPr>
            <w:tcW w:w="5145" w:type="dxa"/>
          </w:tcPr>
          <w:p w:rsidR="00481206" w:rsidRPr="00481206" w:rsidRDefault="00481206" w:rsidP="00CF0F4C">
            <w:pPr>
              <w:outlineLvl w:val="1"/>
              <w:rPr>
                <w:rFonts w:ascii="宋体" w:hAnsi="宋体" w:cs="宋体"/>
                <w:bCs/>
                <w:szCs w:val="21"/>
              </w:rPr>
            </w:pPr>
            <w:bookmarkStart w:id="66" w:name="_Toc444349744"/>
            <w:bookmarkStart w:id="67" w:name="_Toc444350095"/>
            <w:bookmarkStart w:id="68" w:name="_Toc474271570"/>
            <w:r w:rsidRPr="00481206">
              <w:rPr>
                <w:rFonts w:ascii="宋体" w:hAnsi="宋体" w:hint="eastAsia"/>
                <w:szCs w:val="21"/>
              </w:rPr>
              <w:t>绪论：</w:t>
            </w:r>
            <w:bookmarkEnd w:id="66"/>
            <w:bookmarkEnd w:id="67"/>
            <w:bookmarkEnd w:id="68"/>
          </w:p>
          <w:p w:rsidR="00481206" w:rsidRPr="00481206" w:rsidRDefault="00481206" w:rsidP="00CF0F4C">
            <w:pPr>
              <w:outlineLvl w:val="0"/>
              <w:rPr>
                <w:rFonts w:ascii="宋体" w:hAnsi="宋体"/>
                <w:szCs w:val="21"/>
              </w:rPr>
            </w:pPr>
            <w:bookmarkStart w:id="69" w:name="_Toc444349745"/>
            <w:bookmarkStart w:id="70" w:name="_Toc444350096"/>
            <w:bookmarkStart w:id="71" w:name="_Toc474271571"/>
            <w:r w:rsidRPr="00481206">
              <w:rPr>
                <w:rFonts w:ascii="宋体" w:hAnsi="宋体" w:hint="eastAsia"/>
                <w:szCs w:val="21"/>
              </w:rPr>
              <w:t>一、为什么要学习《金融衍生产品理论与实务》？</w:t>
            </w:r>
            <w:bookmarkEnd w:id="69"/>
            <w:bookmarkEnd w:id="70"/>
            <w:bookmarkEnd w:id="71"/>
          </w:p>
          <w:p w:rsidR="00481206" w:rsidRPr="00481206" w:rsidRDefault="00481206" w:rsidP="00CF0F4C">
            <w:pPr>
              <w:outlineLvl w:val="0"/>
              <w:rPr>
                <w:rFonts w:ascii="宋体" w:hAnsi="宋体"/>
                <w:szCs w:val="21"/>
              </w:rPr>
            </w:pPr>
            <w:bookmarkStart w:id="72" w:name="_Toc444349746"/>
            <w:bookmarkStart w:id="73" w:name="_Toc444350097"/>
            <w:bookmarkStart w:id="74" w:name="_Toc474271572"/>
            <w:r w:rsidRPr="00481206">
              <w:rPr>
                <w:rFonts w:ascii="宋体" w:hAnsi="宋体" w:hint="eastAsia"/>
                <w:szCs w:val="21"/>
              </w:rPr>
              <w:t>二、《金融衍生产品理论与实务》课程的研究内容</w:t>
            </w:r>
            <w:bookmarkEnd w:id="72"/>
            <w:bookmarkEnd w:id="73"/>
            <w:bookmarkEnd w:id="74"/>
          </w:p>
          <w:p w:rsidR="00481206" w:rsidRPr="00481206" w:rsidRDefault="00481206" w:rsidP="00CF0F4C">
            <w:pPr>
              <w:rPr>
                <w:rFonts w:ascii="宋体" w:hAnsi="宋体"/>
                <w:bCs/>
                <w:szCs w:val="21"/>
              </w:rPr>
            </w:pPr>
            <w:r w:rsidRPr="00481206">
              <w:rPr>
                <w:rFonts w:ascii="宋体" w:hAnsi="宋体" w:hint="eastAsia"/>
                <w:bCs/>
                <w:szCs w:val="21"/>
              </w:rPr>
              <w:t>三、《金融衍生产品理论与实务》课程的重点和难点</w:t>
            </w:r>
          </w:p>
          <w:p w:rsidR="00481206" w:rsidRPr="00481206" w:rsidRDefault="00481206" w:rsidP="00CF0F4C">
            <w:pPr>
              <w:rPr>
                <w:rFonts w:ascii="宋体" w:hAnsi="宋体"/>
                <w:bCs/>
                <w:szCs w:val="21"/>
              </w:rPr>
            </w:pPr>
            <w:r w:rsidRPr="00481206">
              <w:rPr>
                <w:rFonts w:ascii="宋体" w:hAnsi="宋体" w:hint="eastAsia"/>
                <w:bCs/>
                <w:szCs w:val="21"/>
              </w:rPr>
              <w:t>四、《金融衍生产品理论与实务》课程的学习方法</w:t>
            </w:r>
          </w:p>
        </w:tc>
        <w:tc>
          <w:tcPr>
            <w:tcW w:w="1519" w:type="dxa"/>
            <w:vAlign w:val="center"/>
          </w:tcPr>
          <w:p w:rsidR="00481206" w:rsidRPr="00481206" w:rsidRDefault="00481206" w:rsidP="00CF0F4C">
            <w:pPr>
              <w:spacing w:line="360" w:lineRule="auto"/>
              <w:jc w:val="center"/>
              <w:rPr>
                <w:rFonts w:ascii="宋体" w:hAnsi="宋体" w:cs="宋体"/>
                <w:sz w:val="24"/>
              </w:rPr>
            </w:pPr>
            <w:r w:rsidRPr="00481206">
              <w:rPr>
                <w:rFonts w:ascii="宋体" w:hAnsi="宋体" w:cs="宋体" w:hint="eastAsia"/>
                <w:sz w:val="24"/>
              </w:rPr>
              <w:t>2</w:t>
            </w:r>
          </w:p>
        </w:tc>
      </w:tr>
      <w:tr w:rsidR="00481206" w:rsidRPr="00481206" w:rsidTr="00CF0F4C">
        <w:tc>
          <w:tcPr>
            <w:tcW w:w="1998" w:type="dxa"/>
            <w:vAlign w:val="center"/>
          </w:tcPr>
          <w:p w:rsidR="00481206" w:rsidRPr="00481206" w:rsidRDefault="00481206" w:rsidP="00CF0F4C">
            <w:pPr>
              <w:spacing w:line="360" w:lineRule="auto"/>
              <w:rPr>
                <w:rFonts w:ascii="宋体" w:hAnsi="宋体" w:cs="宋体"/>
                <w:szCs w:val="21"/>
              </w:rPr>
            </w:pPr>
            <w:r w:rsidRPr="00481206">
              <w:rPr>
                <w:rFonts w:ascii="宋体" w:hAnsi="宋体" w:cs="宋体" w:hint="eastAsia"/>
                <w:szCs w:val="21"/>
              </w:rPr>
              <w:t>第一章（共4节）</w:t>
            </w:r>
          </w:p>
        </w:tc>
        <w:tc>
          <w:tcPr>
            <w:tcW w:w="5145" w:type="dxa"/>
          </w:tcPr>
          <w:p w:rsidR="00481206" w:rsidRPr="00481206" w:rsidRDefault="00481206" w:rsidP="00CF0F4C">
            <w:pPr>
              <w:rPr>
                <w:bCs/>
                <w:szCs w:val="21"/>
              </w:rPr>
            </w:pPr>
            <w:r w:rsidRPr="00481206">
              <w:rPr>
                <w:rFonts w:hint="eastAsia"/>
                <w:bCs/>
                <w:szCs w:val="21"/>
              </w:rPr>
              <w:t>第一节</w:t>
            </w:r>
            <w:r w:rsidRPr="00481206">
              <w:rPr>
                <w:rFonts w:hint="eastAsia"/>
                <w:bCs/>
                <w:szCs w:val="21"/>
              </w:rPr>
              <w:t xml:space="preserve"> </w:t>
            </w:r>
            <w:r w:rsidRPr="00481206">
              <w:rPr>
                <w:rFonts w:hint="eastAsia"/>
                <w:bCs/>
                <w:szCs w:val="21"/>
              </w:rPr>
              <w:t>金融期货的定义与种类</w:t>
            </w:r>
          </w:p>
          <w:p w:rsidR="00481206" w:rsidRPr="00481206" w:rsidRDefault="00481206" w:rsidP="00CF0F4C">
            <w:pPr>
              <w:rPr>
                <w:rFonts w:ascii="宋体" w:hAnsi="宋体"/>
                <w:bCs/>
                <w:szCs w:val="21"/>
              </w:rPr>
            </w:pPr>
            <w:r w:rsidRPr="00481206">
              <w:rPr>
                <w:rFonts w:ascii="宋体" w:hAnsi="宋体" w:hint="eastAsia"/>
                <w:bCs/>
                <w:szCs w:val="21"/>
              </w:rPr>
              <w:t>一、金融期货的定义</w:t>
            </w:r>
          </w:p>
          <w:p w:rsidR="00481206" w:rsidRPr="00481206" w:rsidRDefault="00481206" w:rsidP="00CF0F4C">
            <w:pPr>
              <w:rPr>
                <w:rFonts w:ascii="宋体" w:hAnsi="宋体"/>
                <w:bCs/>
                <w:szCs w:val="21"/>
              </w:rPr>
            </w:pPr>
            <w:r w:rsidRPr="00481206">
              <w:rPr>
                <w:rFonts w:ascii="宋体" w:hAnsi="宋体" w:hint="eastAsia"/>
                <w:bCs/>
                <w:szCs w:val="21"/>
              </w:rPr>
              <w:t>二、金融期货的种类</w:t>
            </w:r>
          </w:p>
          <w:p w:rsidR="00481206" w:rsidRPr="00481206" w:rsidRDefault="00481206" w:rsidP="00CF0F4C">
            <w:pPr>
              <w:rPr>
                <w:bCs/>
                <w:szCs w:val="21"/>
              </w:rPr>
            </w:pPr>
            <w:r w:rsidRPr="00481206">
              <w:rPr>
                <w:rFonts w:hint="eastAsia"/>
                <w:bCs/>
                <w:szCs w:val="21"/>
              </w:rPr>
              <w:t>第二节</w:t>
            </w:r>
            <w:r w:rsidRPr="00481206">
              <w:rPr>
                <w:rFonts w:hint="eastAsia"/>
                <w:bCs/>
                <w:szCs w:val="21"/>
              </w:rPr>
              <w:t xml:space="preserve"> </w:t>
            </w:r>
            <w:r w:rsidRPr="00481206">
              <w:rPr>
                <w:rFonts w:hint="eastAsia"/>
                <w:bCs/>
                <w:szCs w:val="21"/>
              </w:rPr>
              <w:t>金融期货的交易制度</w:t>
            </w:r>
          </w:p>
          <w:p w:rsidR="00481206" w:rsidRPr="00481206" w:rsidRDefault="00481206" w:rsidP="00CF0F4C">
            <w:pPr>
              <w:rPr>
                <w:rFonts w:ascii="宋体" w:hAnsi="宋体"/>
                <w:bCs/>
                <w:szCs w:val="21"/>
              </w:rPr>
            </w:pPr>
            <w:r w:rsidRPr="00481206">
              <w:rPr>
                <w:rFonts w:ascii="宋体" w:hAnsi="宋体" w:hint="eastAsia"/>
                <w:bCs/>
                <w:szCs w:val="21"/>
              </w:rPr>
              <w:t>一、金融期货合约的标准化条款</w:t>
            </w:r>
          </w:p>
          <w:p w:rsidR="00481206" w:rsidRPr="00481206" w:rsidRDefault="00481206" w:rsidP="00CF0F4C">
            <w:pPr>
              <w:rPr>
                <w:rFonts w:ascii="宋体" w:hAnsi="宋体"/>
                <w:bCs/>
                <w:szCs w:val="21"/>
              </w:rPr>
            </w:pPr>
            <w:r w:rsidRPr="00481206">
              <w:rPr>
                <w:rFonts w:ascii="宋体" w:hAnsi="宋体" w:hint="eastAsia"/>
                <w:bCs/>
                <w:szCs w:val="21"/>
              </w:rPr>
              <w:t>二、金融期货合约的保证金制度</w:t>
            </w:r>
          </w:p>
          <w:p w:rsidR="00481206" w:rsidRPr="00481206" w:rsidRDefault="00481206" w:rsidP="00CF0F4C">
            <w:pPr>
              <w:rPr>
                <w:rFonts w:ascii="宋体" w:hAnsi="宋体"/>
                <w:bCs/>
                <w:szCs w:val="21"/>
              </w:rPr>
            </w:pPr>
            <w:r w:rsidRPr="00481206">
              <w:rPr>
                <w:rFonts w:ascii="宋体" w:hAnsi="宋体" w:hint="eastAsia"/>
                <w:bCs/>
                <w:szCs w:val="21"/>
              </w:rPr>
              <w:t>三、金融期货合约的逐日结算制度</w:t>
            </w:r>
          </w:p>
          <w:p w:rsidR="00481206" w:rsidRPr="00481206" w:rsidRDefault="00481206" w:rsidP="00CF0F4C">
            <w:pPr>
              <w:rPr>
                <w:bCs/>
                <w:szCs w:val="21"/>
              </w:rPr>
            </w:pPr>
            <w:r w:rsidRPr="00481206">
              <w:rPr>
                <w:rFonts w:ascii="宋体" w:hAnsi="宋体" w:hint="eastAsia"/>
                <w:bCs/>
                <w:szCs w:val="21"/>
              </w:rPr>
              <w:t>四、金融期货交易的定单</w:t>
            </w:r>
          </w:p>
          <w:p w:rsidR="00481206" w:rsidRPr="00481206" w:rsidRDefault="00481206" w:rsidP="00CF0F4C">
            <w:pPr>
              <w:rPr>
                <w:bCs/>
                <w:szCs w:val="21"/>
              </w:rPr>
            </w:pPr>
            <w:r w:rsidRPr="00481206">
              <w:rPr>
                <w:rFonts w:hint="eastAsia"/>
                <w:bCs/>
                <w:szCs w:val="21"/>
              </w:rPr>
              <w:t>第三节</w:t>
            </w:r>
            <w:r w:rsidRPr="00481206">
              <w:rPr>
                <w:rFonts w:hint="eastAsia"/>
                <w:bCs/>
                <w:szCs w:val="21"/>
              </w:rPr>
              <w:t xml:space="preserve"> </w:t>
            </w:r>
            <w:r w:rsidRPr="00481206">
              <w:rPr>
                <w:rFonts w:hint="eastAsia"/>
                <w:bCs/>
                <w:szCs w:val="21"/>
              </w:rPr>
              <w:t>金融期货交易与远期交易</w:t>
            </w:r>
          </w:p>
          <w:p w:rsidR="00481206" w:rsidRPr="00481206" w:rsidRDefault="00481206" w:rsidP="00CF0F4C">
            <w:pPr>
              <w:rPr>
                <w:bCs/>
                <w:szCs w:val="21"/>
              </w:rPr>
            </w:pPr>
            <w:r w:rsidRPr="00481206">
              <w:rPr>
                <w:rFonts w:hint="eastAsia"/>
                <w:bCs/>
                <w:szCs w:val="21"/>
              </w:rPr>
              <w:t>第四节</w:t>
            </w:r>
            <w:r w:rsidRPr="00481206">
              <w:rPr>
                <w:rFonts w:hint="eastAsia"/>
                <w:bCs/>
                <w:szCs w:val="21"/>
              </w:rPr>
              <w:t xml:space="preserve"> </w:t>
            </w:r>
            <w:r w:rsidRPr="00481206">
              <w:rPr>
                <w:rFonts w:hint="eastAsia"/>
                <w:bCs/>
                <w:szCs w:val="21"/>
              </w:rPr>
              <w:t>金融期货市场</w:t>
            </w:r>
          </w:p>
          <w:p w:rsidR="00481206" w:rsidRPr="00481206" w:rsidRDefault="00481206" w:rsidP="00CF0F4C">
            <w:pPr>
              <w:rPr>
                <w:rFonts w:ascii="宋体" w:hAnsi="宋体"/>
                <w:bCs/>
                <w:szCs w:val="21"/>
              </w:rPr>
            </w:pPr>
            <w:r w:rsidRPr="00481206">
              <w:rPr>
                <w:rFonts w:ascii="宋体" w:hAnsi="宋体" w:hint="eastAsia"/>
                <w:bCs/>
                <w:szCs w:val="21"/>
              </w:rPr>
              <w:t>一、金融期货市场的形成和发展</w:t>
            </w:r>
          </w:p>
          <w:p w:rsidR="00481206" w:rsidRPr="00481206" w:rsidRDefault="00481206" w:rsidP="00CF0F4C">
            <w:pPr>
              <w:rPr>
                <w:rFonts w:ascii="宋体" w:hAnsi="宋体"/>
                <w:bCs/>
                <w:szCs w:val="21"/>
              </w:rPr>
            </w:pPr>
            <w:r w:rsidRPr="00481206">
              <w:rPr>
                <w:rFonts w:ascii="宋体" w:hAnsi="宋体" w:hint="eastAsia"/>
                <w:bCs/>
                <w:szCs w:val="21"/>
              </w:rPr>
              <w:t>二、金融期货市场的基本结构</w:t>
            </w:r>
          </w:p>
          <w:p w:rsidR="00481206" w:rsidRPr="00481206" w:rsidRDefault="00481206" w:rsidP="00CF0F4C">
            <w:pPr>
              <w:rPr>
                <w:rFonts w:ascii="宋体" w:hAnsi="宋体"/>
                <w:bCs/>
                <w:szCs w:val="21"/>
              </w:rPr>
            </w:pPr>
            <w:r w:rsidRPr="00481206">
              <w:rPr>
                <w:rFonts w:ascii="宋体" w:hAnsi="宋体" w:hint="eastAsia"/>
                <w:bCs/>
                <w:szCs w:val="21"/>
              </w:rPr>
              <w:t>三、金融期货市场的主要功能</w:t>
            </w:r>
          </w:p>
        </w:tc>
        <w:tc>
          <w:tcPr>
            <w:tcW w:w="1519" w:type="dxa"/>
            <w:vAlign w:val="center"/>
          </w:tcPr>
          <w:p w:rsidR="00481206" w:rsidRPr="00481206" w:rsidRDefault="00481206" w:rsidP="00CF0F4C">
            <w:pPr>
              <w:spacing w:line="360" w:lineRule="auto"/>
              <w:jc w:val="center"/>
              <w:rPr>
                <w:rFonts w:ascii="宋体" w:hAnsi="宋体" w:cs="宋体"/>
                <w:sz w:val="24"/>
              </w:rPr>
            </w:pPr>
            <w:r w:rsidRPr="00481206">
              <w:rPr>
                <w:rFonts w:ascii="宋体" w:hAnsi="宋体" w:cs="宋体" w:hint="eastAsia"/>
                <w:sz w:val="24"/>
              </w:rPr>
              <w:t>6</w:t>
            </w:r>
          </w:p>
        </w:tc>
      </w:tr>
      <w:tr w:rsidR="00481206" w:rsidRPr="00481206" w:rsidTr="00CF0F4C">
        <w:tc>
          <w:tcPr>
            <w:tcW w:w="1998" w:type="dxa"/>
            <w:vAlign w:val="center"/>
          </w:tcPr>
          <w:p w:rsidR="00481206" w:rsidRPr="00481206" w:rsidRDefault="00481206" w:rsidP="00CF0F4C">
            <w:pPr>
              <w:pStyle w:val="af2"/>
              <w:spacing w:line="360" w:lineRule="auto"/>
              <w:ind w:firstLineChars="0" w:firstLine="0"/>
              <w:rPr>
                <w:rFonts w:ascii="宋体" w:hAnsi="宋体" w:cs="宋体"/>
                <w:szCs w:val="21"/>
              </w:rPr>
            </w:pPr>
            <w:r w:rsidRPr="00481206">
              <w:rPr>
                <w:rFonts w:ascii="宋体" w:hAnsi="宋体" w:cs="宋体" w:hint="eastAsia"/>
                <w:szCs w:val="21"/>
              </w:rPr>
              <w:t>第二章（共4节）</w:t>
            </w:r>
          </w:p>
        </w:tc>
        <w:tc>
          <w:tcPr>
            <w:tcW w:w="5145" w:type="dxa"/>
          </w:tcPr>
          <w:p w:rsidR="00481206" w:rsidRPr="00481206" w:rsidRDefault="00481206" w:rsidP="00CF0F4C">
            <w:pPr>
              <w:tabs>
                <w:tab w:val="left" w:pos="420"/>
              </w:tabs>
              <w:outlineLvl w:val="1"/>
              <w:rPr>
                <w:rFonts w:ascii="宋体" w:hAnsi="宋体" w:cs="宋体"/>
                <w:bCs/>
                <w:szCs w:val="21"/>
              </w:rPr>
            </w:pPr>
            <w:bookmarkStart w:id="75" w:name="_Toc444349747"/>
            <w:bookmarkStart w:id="76" w:name="_Toc444350098"/>
            <w:bookmarkStart w:id="77" w:name="_Toc474271573"/>
            <w:r w:rsidRPr="00481206">
              <w:rPr>
                <w:rFonts w:ascii="宋体" w:hAnsi="宋体" w:cs="宋体" w:hint="eastAsia"/>
                <w:bCs/>
                <w:szCs w:val="21"/>
              </w:rPr>
              <w:t xml:space="preserve">第二章  </w:t>
            </w:r>
            <w:r w:rsidRPr="00481206">
              <w:rPr>
                <w:rFonts w:ascii="宋体" w:hAnsi="宋体" w:hint="eastAsia"/>
                <w:bCs/>
                <w:szCs w:val="21"/>
              </w:rPr>
              <w:t>金融期货的主要产品</w:t>
            </w:r>
            <w:bookmarkEnd w:id="75"/>
            <w:bookmarkEnd w:id="76"/>
            <w:bookmarkEnd w:id="77"/>
          </w:p>
          <w:p w:rsidR="00481206" w:rsidRPr="00481206" w:rsidRDefault="00481206" w:rsidP="00CF0F4C">
            <w:pPr>
              <w:rPr>
                <w:rFonts w:ascii="宋体" w:hAnsi="宋体"/>
                <w:bCs/>
                <w:szCs w:val="21"/>
              </w:rPr>
            </w:pPr>
            <w:r w:rsidRPr="00481206">
              <w:rPr>
                <w:rFonts w:ascii="宋体" w:hAnsi="宋体" w:hint="eastAsia"/>
                <w:bCs/>
                <w:szCs w:val="21"/>
              </w:rPr>
              <w:t>第一节  货币期货</w:t>
            </w:r>
          </w:p>
          <w:p w:rsidR="00481206" w:rsidRPr="00481206" w:rsidRDefault="00481206" w:rsidP="00CF0F4C">
            <w:pPr>
              <w:outlineLvl w:val="0"/>
              <w:rPr>
                <w:rFonts w:ascii="宋体" w:hAnsi="宋体"/>
                <w:bCs/>
                <w:szCs w:val="21"/>
              </w:rPr>
            </w:pPr>
            <w:bookmarkStart w:id="78" w:name="_Toc444349748"/>
            <w:bookmarkStart w:id="79" w:name="_Toc444350099"/>
            <w:bookmarkStart w:id="80" w:name="_Toc474271574"/>
            <w:r w:rsidRPr="00481206">
              <w:rPr>
                <w:rFonts w:ascii="宋体" w:hAnsi="宋体" w:hint="eastAsia"/>
                <w:bCs/>
                <w:szCs w:val="21"/>
              </w:rPr>
              <w:t>一、远期外汇协议</w:t>
            </w:r>
            <w:bookmarkEnd w:id="78"/>
            <w:bookmarkEnd w:id="79"/>
            <w:bookmarkEnd w:id="80"/>
          </w:p>
          <w:p w:rsidR="00481206" w:rsidRPr="00481206" w:rsidRDefault="00481206" w:rsidP="00CF0F4C">
            <w:pPr>
              <w:outlineLvl w:val="0"/>
              <w:rPr>
                <w:rFonts w:ascii="宋体" w:hAnsi="宋体"/>
                <w:bCs/>
                <w:szCs w:val="21"/>
              </w:rPr>
            </w:pPr>
            <w:bookmarkStart w:id="81" w:name="_Toc444349749"/>
            <w:bookmarkStart w:id="82" w:name="_Toc444350100"/>
            <w:bookmarkStart w:id="83" w:name="_Toc474271575"/>
            <w:r w:rsidRPr="00481206">
              <w:rPr>
                <w:rFonts w:ascii="宋体" w:hAnsi="宋体" w:hint="eastAsia"/>
                <w:bCs/>
                <w:szCs w:val="21"/>
              </w:rPr>
              <w:t>二、货币期货的产生与发展</w:t>
            </w:r>
            <w:bookmarkEnd w:id="81"/>
            <w:bookmarkEnd w:id="82"/>
            <w:bookmarkEnd w:id="83"/>
          </w:p>
          <w:p w:rsidR="00481206" w:rsidRPr="00481206" w:rsidRDefault="00481206" w:rsidP="00CF0F4C">
            <w:pPr>
              <w:outlineLvl w:val="0"/>
              <w:rPr>
                <w:rFonts w:ascii="宋体" w:hAnsi="宋体"/>
                <w:bCs/>
                <w:szCs w:val="21"/>
              </w:rPr>
            </w:pPr>
            <w:bookmarkStart w:id="84" w:name="_Toc444349750"/>
            <w:bookmarkStart w:id="85" w:name="_Toc444350101"/>
            <w:bookmarkStart w:id="86" w:name="_Toc474271576"/>
            <w:r w:rsidRPr="00481206">
              <w:rPr>
                <w:rFonts w:ascii="宋体" w:hAnsi="宋体" w:hint="eastAsia"/>
                <w:bCs/>
                <w:szCs w:val="21"/>
              </w:rPr>
              <w:t>三、货币期货的主要品种</w:t>
            </w:r>
            <w:bookmarkEnd w:id="84"/>
            <w:bookmarkEnd w:id="85"/>
            <w:bookmarkEnd w:id="86"/>
          </w:p>
          <w:p w:rsidR="00481206" w:rsidRPr="00481206" w:rsidRDefault="00481206" w:rsidP="00CF0F4C">
            <w:pPr>
              <w:outlineLvl w:val="0"/>
              <w:rPr>
                <w:rFonts w:ascii="宋体" w:hAnsi="宋体"/>
                <w:bCs/>
                <w:szCs w:val="21"/>
              </w:rPr>
            </w:pPr>
            <w:bookmarkStart w:id="87" w:name="_Toc444349751"/>
            <w:bookmarkStart w:id="88" w:name="_Toc444350102"/>
            <w:bookmarkStart w:id="89" w:name="_Toc474271577"/>
            <w:r w:rsidRPr="00481206">
              <w:rPr>
                <w:rFonts w:ascii="宋体" w:hAnsi="宋体" w:hint="eastAsia"/>
                <w:bCs/>
                <w:szCs w:val="21"/>
              </w:rPr>
              <w:t>四、货币期货的报价方式</w:t>
            </w:r>
            <w:bookmarkEnd w:id="87"/>
            <w:bookmarkEnd w:id="88"/>
            <w:bookmarkEnd w:id="89"/>
          </w:p>
          <w:p w:rsidR="00481206" w:rsidRPr="00481206" w:rsidRDefault="00481206" w:rsidP="00CF0F4C">
            <w:pPr>
              <w:tabs>
                <w:tab w:val="num" w:pos="420"/>
              </w:tabs>
              <w:outlineLvl w:val="0"/>
              <w:rPr>
                <w:rFonts w:ascii="宋体" w:hAnsi="宋体"/>
                <w:bCs/>
                <w:szCs w:val="21"/>
              </w:rPr>
            </w:pPr>
            <w:bookmarkStart w:id="90" w:name="_Toc444349752"/>
            <w:bookmarkStart w:id="91" w:name="_Toc444350103"/>
            <w:bookmarkStart w:id="92" w:name="_Toc474271578"/>
            <w:r w:rsidRPr="00481206">
              <w:rPr>
                <w:rFonts w:ascii="宋体" w:hAnsi="宋体" w:hint="eastAsia"/>
                <w:bCs/>
                <w:szCs w:val="21"/>
              </w:rPr>
              <w:t>五、货币期货的合约规格</w:t>
            </w:r>
            <w:bookmarkEnd w:id="90"/>
            <w:bookmarkEnd w:id="91"/>
            <w:bookmarkEnd w:id="92"/>
          </w:p>
          <w:p w:rsidR="00481206" w:rsidRPr="00481206" w:rsidRDefault="00481206" w:rsidP="00CF0F4C">
            <w:pPr>
              <w:rPr>
                <w:rFonts w:ascii="宋体" w:hAnsi="宋体"/>
                <w:bCs/>
                <w:szCs w:val="21"/>
              </w:rPr>
            </w:pPr>
            <w:r w:rsidRPr="00481206">
              <w:rPr>
                <w:rFonts w:ascii="宋体" w:hAnsi="宋体" w:hint="eastAsia"/>
                <w:bCs/>
                <w:szCs w:val="21"/>
              </w:rPr>
              <w:t>第二节  利率期货</w:t>
            </w:r>
          </w:p>
          <w:p w:rsidR="00481206" w:rsidRPr="00481206" w:rsidRDefault="00481206" w:rsidP="00CF0F4C">
            <w:pPr>
              <w:outlineLvl w:val="0"/>
              <w:rPr>
                <w:rFonts w:ascii="宋体" w:hAnsi="宋体"/>
                <w:bCs/>
                <w:szCs w:val="21"/>
              </w:rPr>
            </w:pPr>
            <w:bookmarkStart w:id="93" w:name="_Toc444349753"/>
            <w:bookmarkStart w:id="94" w:name="_Toc444350104"/>
            <w:bookmarkStart w:id="95" w:name="_Toc474271579"/>
            <w:r w:rsidRPr="00481206">
              <w:rPr>
                <w:rFonts w:ascii="宋体" w:hAnsi="宋体" w:hint="eastAsia"/>
                <w:bCs/>
                <w:szCs w:val="21"/>
              </w:rPr>
              <w:t>一、远期利率协议</w:t>
            </w:r>
            <w:bookmarkEnd w:id="93"/>
            <w:bookmarkEnd w:id="94"/>
            <w:bookmarkEnd w:id="95"/>
          </w:p>
          <w:p w:rsidR="00481206" w:rsidRPr="00481206" w:rsidRDefault="00481206" w:rsidP="00CF0F4C">
            <w:pPr>
              <w:outlineLvl w:val="0"/>
              <w:rPr>
                <w:rFonts w:ascii="宋体" w:hAnsi="宋体"/>
                <w:bCs/>
                <w:szCs w:val="21"/>
              </w:rPr>
            </w:pPr>
            <w:bookmarkStart w:id="96" w:name="_Toc444349754"/>
            <w:bookmarkStart w:id="97" w:name="_Toc444350105"/>
            <w:bookmarkStart w:id="98" w:name="_Toc474271580"/>
            <w:r w:rsidRPr="00481206">
              <w:rPr>
                <w:rFonts w:ascii="宋体" w:hAnsi="宋体" w:hint="eastAsia"/>
                <w:bCs/>
                <w:szCs w:val="21"/>
              </w:rPr>
              <w:t>二、利率期货的产生与发展</w:t>
            </w:r>
            <w:bookmarkEnd w:id="96"/>
            <w:bookmarkEnd w:id="97"/>
            <w:bookmarkEnd w:id="98"/>
          </w:p>
          <w:p w:rsidR="00481206" w:rsidRPr="00481206" w:rsidRDefault="00481206" w:rsidP="00CF0F4C">
            <w:pPr>
              <w:rPr>
                <w:rFonts w:ascii="宋体" w:hAnsi="宋体"/>
                <w:bCs/>
                <w:szCs w:val="21"/>
              </w:rPr>
            </w:pPr>
            <w:r w:rsidRPr="00481206">
              <w:rPr>
                <w:rFonts w:ascii="宋体" w:hAnsi="宋体" w:hint="eastAsia"/>
                <w:bCs/>
                <w:szCs w:val="21"/>
              </w:rPr>
              <w:t>三、利率期货的主要种类</w:t>
            </w:r>
          </w:p>
          <w:p w:rsidR="00481206" w:rsidRPr="00481206" w:rsidRDefault="00481206" w:rsidP="00CF0F4C">
            <w:pPr>
              <w:rPr>
                <w:rFonts w:ascii="宋体" w:hAnsi="宋体"/>
                <w:bCs/>
                <w:szCs w:val="21"/>
              </w:rPr>
            </w:pPr>
            <w:r w:rsidRPr="00481206">
              <w:rPr>
                <w:rFonts w:ascii="宋体" w:hAnsi="宋体" w:hint="eastAsia"/>
                <w:bCs/>
                <w:szCs w:val="21"/>
              </w:rPr>
              <w:t>四、短期利率期货的交易规则</w:t>
            </w:r>
          </w:p>
          <w:p w:rsidR="00481206" w:rsidRPr="00481206" w:rsidRDefault="00481206" w:rsidP="00CF0F4C">
            <w:pPr>
              <w:rPr>
                <w:rFonts w:ascii="宋体" w:hAnsi="宋体"/>
                <w:bCs/>
                <w:szCs w:val="21"/>
              </w:rPr>
            </w:pPr>
            <w:r w:rsidRPr="00481206">
              <w:rPr>
                <w:rFonts w:ascii="宋体" w:hAnsi="宋体" w:hint="eastAsia"/>
                <w:bCs/>
                <w:szCs w:val="21"/>
              </w:rPr>
              <w:t>五、长期利率期货的交易规则</w:t>
            </w:r>
          </w:p>
          <w:p w:rsidR="00481206" w:rsidRPr="00481206" w:rsidRDefault="00481206" w:rsidP="00CF0F4C">
            <w:pPr>
              <w:rPr>
                <w:rFonts w:ascii="宋体" w:hAnsi="宋体"/>
                <w:bCs/>
                <w:szCs w:val="21"/>
              </w:rPr>
            </w:pPr>
            <w:r w:rsidRPr="00481206">
              <w:rPr>
                <w:rFonts w:ascii="宋体" w:hAnsi="宋体" w:hint="eastAsia"/>
                <w:bCs/>
                <w:szCs w:val="21"/>
              </w:rPr>
              <w:t>六、利率期货的交割方式</w:t>
            </w:r>
          </w:p>
          <w:p w:rsidR="00481206" w:rsidRPr="00481206" w:rsidRDefault="00481206" w:rsidP="00CF0F4C">
            <w:pPr>
              <w:rPr>
                <w:rFonts w:ascii="宋体" w:hAnsi="宋体"/>
                <w:bCs/>
                <w:szCs w:val="21"/>
              </w:rPr>
            </w:pPr>
            <w:r w:rsidRPr="00481206">
              <w:rPr>
                <w:rFonts w:ascii="宋体" w:hAnsi="宋体" w:hint="eastAsia"/>
                <w:bCs/>
                <w:szCs w:val="21"/>
              </w:rPr>
              <w:lastRenderedPageBreak/>
              <w:t>第三节 股价指数期货</w:t>
            </w:r>
          </w:p>
          <w:p w:rsidR="00481206" w:rsidRPr="00481206" w:rsidRDefault="00481206" w:rsidP="00CF0F4C">
            <w:pPr>
              <w:rPr>
                <w:rFonts w:ascii="宋体" w:hAnsi="宋体"/>
                <w:bCs/>
                <w:szCs w:val="21"/>
              </w:rPr>
            </w:pPr>
            <w:r w:rsidRPr="00481206">
              <w:rPr>
                <w:rFonts w:ascii="宋体" w:hAnsi="宋体" w:hint="eastAsia"/>
                <w:bCs/>
                <w:szCs w:val="21"/>
              </w:rPr>
              <w:t>一、股价指数期货的产生与发展</w:t>
            </w:r>
          </w:p>
          <w:p w:rsidR="00481206" w:rsidRPr="00481206" w:rsidRDefault="00481206" w:rsidP="00CF0F4C">
            <w:pPr>
              <w:rPr>
                <w:rFonts w:ascii="宋体" w:hAnsi="宋体"/>
                <w:bCs/>
                <w:szCs w:val="21"/>
              </w:rPr>
            </w:pPr>
            <w:r w:rsidRPr="00481206">
              <w:rPr>
                <w:rFonts w:ascii="宋体" w:hAnsi="宋体" w:hint="eastAsia"/>
                <w:bCs/>
                <w:szCs w:val="21"/>
              </w:rPr>
              <w:t>二、股价指数期货的交易规则</w:t>
            </w:r>
          </w:p>
          <w:p w:rsidR="00481206" w:rsidRPr="00481206" w:rsidRDefault="00481206" w:rsidP="00CF0F4C">
            <w:pPr>
              <w:rPr>
                <w:rFonts w:ascii="宋体" w:hAnsi="宋体"/>
                <w:bCs/>
                <w:szCs w:val="21"/>
              </w:rPr>
            </w:pPr>
            <w:r w:rsidRPr="00481206">
              <w:rPr>
                <w:rFonts w:ascii="宋体" w:hAnsi="宋体" w:hint="eastAsia"/>
                <w:bCs/>
                <w:szCs w:val="21"/>
              </w:rPr>
              <w:t>三、股指期货与股票交易的不同</w:t>
            </w:r>
          </w:p>
          <w:p w:rsidR="00481206" w:rsidRPr="00481206" w:rsidRDefault="00481206" w:rsidP="00CF0F4C">
            <w:pPr>
              <w:rPr>
                <w:rFonts w:ascii="宋体" w:hAnsi="宋体" w:cs="宋体"/>
                <w:bCs/>
                <w:spacing w:val="8"/>
                <w:kern w:val="0"/>
                <w:szCs w:val="21"/>
              </w:rPr>
            </w:pPr>
            <w:r w:rsidRPr="00481206">
              <w:rPr>
                <w:rFonts w:ascii="宋体" w:hAnsi="宋体" w:cs="宋体" w:hint="eastAsia"/>
                <w:bCs/>
                <w:spacing w:val="8"/>
                <w:kern w:val="0"/>
                <w:szCs w:val="21"/>
              </w:rPr>
              <w:t>四、</w:t>
            </w:r>
            <w:r w:rsidRPr="00481206">
              <w:rPr>
                <w:rFonts w:ascii="宋体" w:hAnsi="宋体" w:hint="eastAsia"/>
                <w:bCs/>
                <w:szCs w:val="21"/>
              </w:rPr>
              <w:t>股指期货的作用</w:t>
            </w:r>
          </w:p>
          <w:p w:rsidR="00481206" w:rsidRPr="00481206" w:rsidRDefault="00481206" w:rsidP="00CF0F4C">
            <w:pPr>
              <w:rPr>
                <w:rFonts w:ascii="宋体" w:hAnsi="宋体"/>
                <w:bCs/>
                <w:szCs w:val="21"/>
              </w:rPr>
            </w:pPr>
            <w:r w:rsidRPr="00481206">
              <w:rPr>
                <w:rFonts w:ascii="宋体" w:hAnsi="宋体" w:hint="eastAsia"/>
                <w:bCs/>
                <w:szCs w:val="21"/>
              </w:rPr>
              <w:t>五、沪深300股指期货</w:t>
            </w:r>
          </w:p>
          <w:p w:rsidR="00481206" w:rsidRPr="00481206" w:rsidRDefault="00481206" w:rsidP="00CF0F4C">
            <w:pPr>
              <w:rPr>
                <w:rFonts w:ascii="宋体" w:hAnsi="宋体"/>
                <w:bCs/>
                <w:szCs w:val="21"/>
              </w:rPr>
            </w:pPr>
            <w:r w:rsidRPr="00481206">
              <w:rPr>
                <w:rFonts w:ascii="宋体" w:hAnsi="宋体" w:hint="eastAsia"/>
                <w:bCs/>
                <w:szCs w:val="21"/>
              </w:rPr>
              <w:t>第四节 股票期货</w:t>
            </w:r>
          </w:p>
          <w:p w:rsidR="00481206" w:rsidRPr="00481206" w:rsidRDefault="00481206" w:rsidP="00CF0F4C">
            <w:pPr>
              <w:rPr>
                <w:rFonts w:ascii="宋体" w:hAnsi="宋体"/>
                <w:bCs/>
                <w:szCs w:val="21"/>
              </w:rPr>
            </w:pPr>
            <w:r w:rsidRPr="00481206">
              <w:rPr>
                <w:rFonts w:ascii="宋体" w:hAnsi="宋体" w:hint="eastAsia"/>
                <w:bCs/>
                <w:szCs w:val="21"/>
              </w:rPr>
              <w:t>一、股票期货的定义</w:t>
            </w:r>
          </w:p>
          <w:p w:rsidR="00481206" w:rsidRPr="00481206" w:rsidRDefault="00481206" w:rsidP="00CF0F4C">
            <w:pPr>
              <w:rPr>
                <w:rFonts w:ascii="宋体" w:hAnsi="宋体"/>
                <w:bCs/>
                <w:szCs w:val="21"/>
              </w:rPr>
            </w:pPr>
            <w:r w:rsidRPr="00481206">
              <w:rPr>
                <w:rFonts w:ascii="宋体" w:hAnsi="宋体" w:hint="eastAsia"/>
                <w:bCs/>
                <w:szCs w:val="21"/>
              </w:rPr>
              <w:t>二、股票期货投资相对于股票现货投资的特点</w:t>
            </w:r>
          </w:p>
          <w:p w:rsidR="00481206" w:rsidRPr="00481206" w:rsidRDefault="00481206" w:rsidP="00CF0F4C">
            <w:pPr>
              <w:rPr>
                <w:rFonts w:ascii="宋体" w:hAnsi="宋体"/>
                <w:bCs/>
                <w:szCs w:val="21"/>
              </w:rPr>
            </w:pPr>
            <w:r w:rsidRPr="00481206">
              <w:rPr>
                <w:rFonts w:ascii="宋体" w:hAnsi="宋体" w:hint="eastAsia"/>
                <w:bCs/>
                <w:szCs w:val="21"/>
              </w:rPr>
              <w:t>三、股票期货的用途</w:t>
            </w:r>
          </w:p>
        </w:tc>
        <w:tc>
          <w:tcPr>
            <w:tcW w:w="1519" w:type="dxa"/>
            <w:vAlign w:val="center"/>
          </w:tcPr>
          <w:p w:rsidR="00481206" w:rsidRPr="00481206" w:rsidRDefault="00481206" w:rsidP="00CF0F4C">
            <w:pPr>
              <w:spacing w:line="360" w:lineRule="auto"/>
              <w:jc w:val="center"/>
              <w:rPr>
                <w:rFonts w:ascii="宋体" w:hAnsi="宋体" w:cs="宋体"/>
                <w:sz w:val="24"/>
              </w:rPr>
            </w:pPr>
            <w:r w:rsidRPr="00481206">
              <w:rPr>
                <w:rFonts w:ascii="宋体" w:hAnsi="宋体" w:cs="宋体" w:hint="eastAsia"/>
                <w:sz w:val="24"/>
              </w:rPr>
              <w:lastRenderedPageBreak/>
              <w:t>6</w:t>
            </w:r>
          </w:p>
        </w:tc>
      </w:tr>
      <w:tr w:rsidR="00481206" w:rsidRPr="00481206" w:rsidTr="00CF0F4C">
        <w:tc>
          <w:tcPr>
            <w:tcW w:w="1998" w:type="dxa"/>
            <w:vAlign w:val="center"/>
          </w:tcPr>
          <w:p w:rsidR="00481206" w:rsidRPr="00481206" w:rsidRDefault="00481206" w:rsidP="00CF0F4C">
            <w:pPr>
              <w:pStyle w:val="af2"/>
              <w:spacing w:line="360" w:lineRule="auto"/>
              <w:ind w:firstLineChars="0" w:firstLine="0"/>
              <w:rPr>
                <w:rFonts w:ascii="宋体" w:hAnsi="宋体" w:cs="宋体"/>
                <w:szCs w:val="21"/>
              </w:rPr>
            </w:pPr>
            <w:r w:rsidRPr="00481206">
              <w:rPr>
                <w:rFonts w:ascii="宋体" w:hAnsi="宋体" w:cs="宋体" w:hint="eastAsia"/>
                <w:szCs w:val="21"/>
              </w:rPr>
              <w:lastRenderedPageBreak/>
              <w:t>第三章（共4节）</w:t>
            </w:r>
          </w:p>
        </w:tc>
        <w:tc>
          <w:tcPr>
            <w:tcW w:w="5145" w:type="dxa"/>
          </w:tcPr>
          <w:p w:rsidR="00481206" w:rsidRPr="00481206" w:rsidRDefault="00481206" w:rsidP="00CF0F4C">
            <w:pPr>
              <w:outlineLvl w:val="1"/>
              <w:rPr>
                <w:rFonts w:ascii="宋体" w:hAnsi="宋体" w:cs="宋体"/>
                <w:szCs w:val="21"/>
              </w:rPr>
            </w:pPr>
            <w:bookmarkStart w:id="99" w:name="_Toc444349755"/>
            <w:bookmarkStart w:id="100" w:name="_Toc444350106"/>
            <w:bookmarkStart w:id="101" w:name="_Toc474271581"/>
            <w:r w:rsidRPr="00481206">
              <w:rPr>
                <w:rFonts w:ascii="宋体" w:hAnsi="宋体" w:hint="eastAsia"/>
                <w:bCs/>
                <w:szCs w:val="21"/>
              </w:rPr>
              <w:t>第三章 远期和期货的定价</w:t>
            </w:r>
            <w:bookmarkEnd w:id="99"/>
            <w:bookmarkEnd w:id="100"/>
            <w:bookmarkEnd w:id="101"/>
          </w:p>
          <w:p w:rsidR="00481206" w:rsidRPr="00481206" w:rsidRDefault="00481206" w:rsidP="00CF0F4C">
            <w:pPr>
              <w:rPr>
                <w:rFonts w:ascii="宋体" w:hAnsi="宋体"/>
                <w:bCs/>
                <w:szCs w:val="21"/>
              </w:rPr>
            </w:pPr>
            <w:r w:rsidRPr="00481206">
              <w:rPr>
                <w:rFonts w:ascii="宋体" w:hAnsi="宋体" w:hint="eastAsia"/>
                <w:bCs/>
                <w:szCs w:val="21"/>
              </w:rPr>
              <w:t>第一节 远期和期货的定价</w:t>
            </w:r>
          </w:p>
          <w:p w:rsidR="00481206" w:rsidRPr="00481206" w:rsidRDefault="00481206" w:rsidP="00CF0F4C">
            <w:pPr>
              <w:rPr>
                <w:rFonts w:ascii="宋体" w:hAnsi="宋体"/>
                <w:bCs/>
                <w:szCs w:val="21"/>
              </w:rPr>
            </w:pPr>
            <w:r w:rsidRPr="00481206">
              <w:rPr>
                <w:rFonts w:ascii="宋体" w:hAnsi="宋体" w:hint="eastAsia"/>
                <w:bCs/>
                <w:szCs w:val="21"/>
              </w:rPr>
              <w:t>一、远期价值、远期价格和期货价格</w:t>
            </w:r>
          </w:p>
          <w:p w:rsidR="00481206" w:rsidRPr="00481206" w:rsidRDefault="00481206" w:rsidP="00CF0F4C">
            <w:pPr>
              <w:rPr>
                <w:rFonts w:ascii="宋体" w:hAnsi="宋体"/>
                <w:bCs/>
                <w:szCs w:val="21"/>
              </w:rPr>
            </w:pPr>
            <w:r w:rsidRPr="00481206">
              <w:rPr>
                <w:rFonts w:ascii="宋体" w:hAnsi="宋体" w:hint="eastAsia"/>
                <w:bCs/>
                <w:szCs w:val="21"/>
              </w:rPr>
              <w:t>二、远期价格和期货价格的关系</w:t>
            </w:r>
          </w:p>
          <w:p w:rsidR="00481206" w:rsidRPr="00481206" w:rsidRDefault="00481206" w:rsidP="00CF0F4C">
            <w:pPr>
              <w:rPr>
                <w:rFonts w:ascii="宋体" w:hAnsi="宋体"/>
                <w:bCs/>
                <w:szCs w:val="21"/>
              </w:rPr>
            </w:pPr>
            <w:r w:rsidRPr="00481206">
              <w:rPr>
                <w:rFonts w:ascii="宋体" w:hAnsi="宋体" w:hint="eastAsia"/>
                <w:bCs/>
                <w:szCs w:val="21"/>
              </w:rPr>
              <w:t>三、定价前的基本假定和基本符号</w:t>
            </w:r>
          </w:p>
          <w:p w:rsidR="00481206" w:rsidRPr="00481206" w:rsidRDefault="00481206" w:rsidP="00CF0F4C">
            <w:pPr>
              <w:rPr>
                <w:rFonts w:ascii="宋体" w:hAnsi="宋体"/>
                <w:bCs/>
                <w:szCs w:val="21"/>
              </w:rPr>
            </w:pPr>
            <w:r w:rsidRPr="00481206">
              <w:rPr>
                <w:rFonts w:ascii="宋体" w:hAnsi="宋体" w:hint="eastAsia"/>
                <w:bCs/>
                <w:szCs w:val="21"/>
              </w:rPr>
              <w:t>四、无收益资产远期合约的定价</w:t>
            </w:r>
          </w:p>
          <w:p w:rsidR="00481206" w:rsidRPr="00481206" w:rsidRDefault="00481206" w:rsidP="00CF0F4C">
            <w:pPr>
              <w:rPr>
                <w:rFonts w:ascii="宋体" w:hAnsi="宋体"/>
                <w:bCs/>
                <w:szCs w:val="21"/>
              </w:rPr>
            </w:pPr>
            <w:r w:rsidRPr="00481206">
              <w:rPr>
                <w:rFonts w:ascii="宋体" w:hAnsi="宋体" w:hint="eastAsia"/>
                <w:bCs/>
                <w:szCs w:val="21"/>
              </w:rPr>
              <w:t>五、支付已知现金收益资产远期合约的定价</w:t>
            </w:r>
          </w:p>
          <w:p w:rsidR="00481206" w:rsidRPr="00481206" w:rsidRDefault="00481206" w:rsidP="00CF0F4C">
            <w:pPr>
              <w:rPr>
                <w:rFonts w:ascii="宋体" w:hAnsi="宋体"/>
                <w:bCs/>
                <w:szCs w:val="21"/>
              </w:rPr>
            </w:pPr>
            <w:r w:rsidRPr="00481206">
              <w:rPr>
                <w:rFonts w:ascii="宋体" w:hAnsi="宋体" w:hint="eastAsia"/>
                <w:bCs/>
                <w:szCs w:val="21"/>
              </w:rPr>
              <w:t>六、支付已知收益率资产远期合约的定价</w:t>
            </w:r>
          </w:p>
          <w:p w:rsidR="00481206" w:rsidRPr="00481206" w:rsidRDefault="00481206" w:rsidP="00CF0F4C">
            <w:pPr>
              <w:rPr>
                <w:rFonts w:ascii="宋体" w:hAnsi="宋体"/>
                <w:bCs/>
                <w:szCs w:val="21"/>
              </w:rPr>
            </w:pPr>
            <w:r w:rsidRPr="00481206">
              <w:rPr>
                <w:rFonts w:ascii="宋体" w:hAnsi="宋体" w:hint="eastAsia"/>
                <w:bCs/>
                <w:szCs w:val="21"/>
              </w:rPr>
              <w:t>七、期货价格和现货价格的关系</w:t>
            </w:r>
          </w:p>
          <w:p w:rsidR="00481206" w:rsidRPr="00481206" w:rsidRDefault="00481206" w:rsidP="00CF0F4C">
            <w:pPr>
              <w:rPr>
                <w:rFonts w:ascii="宋体" w:hAnsi="宋体"/>
                <w:bCs/>
                <w:szCs w:val="21"/>
              </w:rPr>
            </w:pPr>
            <w:r w:rsidRPr="00481206">
              <w:rPr>
                <w:rFonts w:ascii="宋体" w:hAnsi="宋体" w:hint="eastAsia"/>
                <w:bCs/>
                <w:szCs w:val="21"/>
              </w:rPr>
              <w:t>八、持有成本和金融期货的理论价格</w:t>
            </w:r>
          </w:p>
          <w:p w:rsidR="00481206" w:rsidRPr="00481206" w:rsidRDefault="00481206" w:rsidP="00CF0F4C">
            <w:pPr>
              <w:rPr>
                <w:rFonts w:ascii="宋体" w:hAnsi="宋体"/>
                <w:bCs/>
                <w:szCs w:val="21"/>
              </w:rPr>
            </w:pPr>
            <w:r w:rsidRPr="00481206">
              <w:rPr>
                <w:rFonts w:ascii="宋体" w:hAnsi="宋体" w:hint="eastAsia"/>
                <w:bCs/>
                <w:szCs w:val="21"/>
              </w:rPr>
              <w:t>九、套利和金融期货的理论价格</w:t>
            </w:r>
          </w:p>
          <w:p w:rsidR="00481206" w:rsidRPr="00481206" w:rsidRDefault="00481206" w:rsidP="00CF0F4C">
            <w:pPr>
              <w:rPr>
                <w:rFonts w:ascii="宋体" w:hAnsi="宋体"/>
                <w:bCs/>
                <w:szCs w:val="21"/>
              </w:rPr>
            </w:pPr>
            <w:r w:rsidRPr="00481206">
              <w:rPr>
                <w:rFonts w:ascii="宋体" w:hAnsi="宋体" w:hint="eastAsia"/>
                <w:bCs/>
                <w:szCs w:val="21"/>
              </w:rPr>
              <w:t>十、基差收敛和金融期货价格的决定</w:t>
            </w:r>
          </w:p>
          <w:p w:rsidR="00481206" w:rsidRPr="00481206" w:rsidRDefault="00481206" w:rsidP="00CF0F4C">
            <w:pPr>
              <w:rPr>
                <w:rFonts w:ascii="宋体" w:hAnsi="宋体"/>
                <w:bCs/>
                <w:szCs w:val="21"/>
              </w:rPr>
            </w:pPr>
            <w:r w:rsidRPr="00481206">
              <w:rPr>
                <w:rFonts w:ascii="宋体" w:hAnsi="宋体" w:hint="eastAsia"/>
                <w:bCs/>
                <w:szCs w:val="21"/>
              </w:rPr>
              <w:t>第二节 货币期货的定价</w:t>
            </w:r>
          </w:p>
          <w:p w:rsidR="00481206" w:rsidRPr="00481206" w:rsidRDefault="00481206" w:rsidP="00CF0F4C">
            <w:pPr>
              <w:outlineLvl w:val="0"/>
              <w:rPr>
                <w:rFonts w:ascii="宋体" w:hAnsi="宋体"/>
                <w:bCs/>
                <w:szCs w:val="21"/>
              </w:rPr>
            </w:pPr>
            <w:bookmarkStart w:id="102" w:name="_Toc444349756"/>
            <w:bookmarkStart w:id="103" w:name="_Toc444350107"/>
            <w:bookmarkStart w:id="104" w:name="_Toc474271582"/>
            <w:r w:rsidRPr="00481206">
              <w:rPr>
                <w:rFonts w:ascii="宋体" w:hAnsi="宋体" w:hint="eastAsia"/>
                <w:bCs/>
                <w:szCs w:val="21"/>
              </w:rPr>
              <w:t>一、利率平价理论</w:t>
            </w:r>
            <w:bookmarkEnd w:id="102"/>
            <w:bookmarkEnd w:id="103"/>
            <w:bookmarkEnd w:id="104"/>
          </w:p>
          <w:p w:rsidR="00481206" w:rsidRPr="00481206" w:rsidRDefault="00481206" w:rsidP="00CF0F4C">
            <w:pPr>
              <w:outlineLvl w:val="0"/>
              <w:rPr>
                <w:rFonts w:ascii="宋体" w:hAnsi="宋体"/>
                <w:bCs/>
                <w:szCs w:val="21"/>
              </w:rPr>
            </w:pPr>
            <w:bookmarkStart w:id="105" w:name="_Toc444349757"/>
            <w:bookmarkStart w:id="106" w:name="_Toc444350108"/>
            <w:bookmarkStart w:id="107" w:name="_Toc474271583"/>
            <w:r w:rsidRPr="00481206">
              <w:rPr>
                <w:rFonts w:ascii="宋体" w:hAnsi="宋体" w:hint="eastAsia"/>
                <w:bCs/>
                <w:szCs w:val="21"/>
              </w:rPr>
              <w:t>二、远期汇率的定价</w:t>
            </w:r>
            <w:bookmarkEnd w:id="105"/>
            <w:bookmarkEnd w:id="106"/>
            <w:bookmarkEnd w:id="107"/>
          </w:p>
          <w:p w:rsidR="00481206" w:rsidRPr="00481206" w:rsidRDefault="00481206" w:rsidP="00CF0F4C">
            <w:pPr>
              <w:rPr>
                <w:rFonts w:ascii="宋体" w:hAnsi="宋体"/>
                <w:bCs/>
                <w:szCs w:val="21"/>
              </w:rPr>
            </w:pPr>
            <w:r w:rsidRPr="00481206">
              <w:rPr>
                <w:rFonts w:ascii="宋体" w:hAnsi="宋体" w:hint="eastAsia"/>
                <w:bCs/>
                <w:szCs w:val="21"/>
              </w:rPr>
              <w:t>第三节 股指期货的定价</w:t>
            </w:r>
          </w:p>
          <w:p w:rsidR="00481206" w:rsidRPr="00481206" w:rsidRDefault="00481206" w:rsidP="00CF0F4C">
            <w:pPr>
              <w:rPr>
                <w:rFonts w:ascii="宋体" w:hAnsi="宋体"/>
                <w:bCs/>
                <w:szCs w:val="21"/>
              </w:rPr>
            </w:pPr>
            <w:r w:rsidRPr="00481206">
              <w:rPr>
                <w:rFonts w:ascii="宋体" w:hAnsi="宋体" w:hint="eastAsia"/>
                <w:bCs/>
                <w:szCs w:val="21"/>
              </w:rPr>
              <w:t>第四节 远期利率协议的定价</w:t>
            </w:r>
          </w:p>
        </w:tc>
        <w:tc>
          <w:tcPr>
            <w:tcW w:w="1519" w:type="dxa"/>
            <w:vAlign w:val="center"/>
          </w:tcPr>
          <w:p w:rsidR="00481206" w:rsidRPr="00481206" w:rsidRDefault="00481206" w:rsidP="00CF0F4C">
            <w:pPr>
              <w:spacing w:line="360" w:lineRule="auto"/>
              <w:jc w:val="center"/>
              <w:rPr>
                <w:rFonts w:ascii="宋体" w:hAnsi="宋体" w:cs="宋体"/>
                <w:sz w:val="24"/>
              </w:rPr>
            </w:pPr>
            <w:r w:rsidRPr="00481206">
              <w:rPr>
                <w:rFonts w:ascii="宋体" w:hAnsi="宋体" w:cs="宋体" w:hint="eastAsia"/>
                <w:sz w:val="24"/>
              </w:rPr>
              <w:t>4</w:t>
            </w:r>
          </w:p>
        </w:tc>
      </w:tr>
      <w:tr w:rsidR="00481206" w:rsidRPr="00481206" w:rsidTr="00CF0F4C">
        <w:tc>
          <w:tcPr>
            <w:tcW w:w="1998" w:type="dxa"/>
            <w:vAlign w:val="center"/>
          </w:tcPr>
          <w:p w:rsidR="00481206" w:rsidRPr="00481206" w:rsidRDefault="00481206" w:rsidP="00CF0F4C">
            <w:pPr>
              <w:spacing w:line="360" w:lineRule="auto"/>
              <w:rPr>
                <w:rFonts w:ascii="宋体" w:hAnsi="宋体" w:cs="宋体"/>
                <w:szCs w:val="21"/>
              </w:rPr>
            </w:pPr>
            <w:r w:rsidRPr="00481206">
              <w:rPr>
                <w:rFonts w:ascii="宋体" w:hAnsi="宋体" w:cs="宋体" w:hint="eastAsia"/>
                <w:szCs w:val="21"/>
              </w:rPr>
              <w:t>第四章（共4节）</w:t>
            </w:r>
          </w:p>
        </w:tc>
        <w:tc>
          <w:tcPr>
            <w:tcW w:w="5145" w:type="dxa"/>
          </w:tcPr>
          <w:p w:rsidR="00481206" w:rsidRPr="00481206" w:rsidRDefault="00481206" w:rsidP="00CF0F4C">
            <w:pPr>
              <w:rPr>
                <w:rFonts w:ascii="宋体" w:hAnsi="宋体"/>
                <w:bCs/>
                <w:szCs w:val="21"/>
              </w:rPr>
            </w:pPr>
            <w:r w:rsidRPr="00481206">
              <w:rPr>
                <w:rFonts w:ascii="宋体" w:hAnsi="宋体" w:hint="eastAsia"/>
                <w:bCs/>
                <w:szCs w:val="21"/>
              </w:rPr>
              <w:t>第四章 金融期货的套期保值</w:t>
            </w:r>
          </w:p>
          <w:p w:rsidR="00481206" w:rsidRPr="00481206" w:rsidRDefault="00481206" w:rsidP="00CF0F4C">
            <w:pPr>
              <w:rPr>
                <w:rFonts w:ascii="宋体" w:hAnsi="宋体"/>
                <w:bCs/>
                <w:szCs w:val="21"/>
              </w:rPr>
            </w:pPr>
            <w:r w:rsidRPr="00481206">
              <w:rPr>
                <w:rFonts w:ascii="宋体" w:hAnsi="宋体" w:hint="eastAsia"/>
                <w:bCs/>
                <w:szCs w:val="21"/>
              </w:rPr>
              <w:t>第一节 金融期货套期保值的定义与种类</w:t>
            </w:r>
          </w:p>
          <w:p w:rsidR="00481206" w:rsidRPr="00481206" w:rsidRDefault="00481206" w:rsidP="00CF0F4C">
            <w:pPr>
              <w:outlineLvl w:val="0"/>
              <w:rPr>
                <w:rFonts w:ascii="宋体" w:hAnsi="宋体"/>
                <w:bCs/>
                <w:szCs w:val="21"/>
              </w:rPr>
            </w:pPr>
            <w:bookmarkStart w:id="108" w:name="_Toc444349758"/>
            <w:bookmarkStart w:id="109" w:name="_Toc444350109"/>
            <w:bookmarkStart w:id="110" w:name="_Toc474271584"/>
            <w:r w:rsidRPr="00481206">
              <w:rPr>
                <w:rFonts w:ascii="宋体" w:hAnsi="宋体" w:hint="eastAsia"/>
                <w:bCs/>
                <w:szCs w:val="21"/>
              </w:rPr>
              <w:t>一、金融期货套期保值的定义</w:t>
            </w:r>
            <w:bookmarkEnd w:id="108"/>
            <w:bookmarkEnd w:id="109"/>
            <w:bookmarkEnd w:id="110"/>
          </w:p>
          <w:p w:rsidR="00481206" w:rsidRPr="00481206" w:rsidRDefault="00481206" w:rsidP="00CF0F4C">
            <w:pPr>
              <w:outlineLvl w:val="0"/>
              <w:rPr>
                <w:rFonts w:ascii="宋体" w:hAnsi="宋体"/>
                <w:bCs/>
                <w:szCs w:val="21"/>
              </w:rPr>
            </w:pPr>
            <w:bookmarkStart w:id="111" w:name="_Toc444349759"/>
            <w:bookmarkStart w:id="112" w:name="_Toc444350110"/>
            <w:bookmarkStart w:id="113" w:name="_Toc474271585"/>
            <w:r w:rsidRPr="00481206">
              <w:rPr>
                <w:rFonts w:ascii="宋体" w:hAnsi="宋体" w:hint="eastAsia"/>
                <w:bCs/>
                <w:szCs w:val="21"/>
              </w:rPr>
              <w:t>二、金融期货套期保值的种类</w:t>
            </w:r>
            <w:bookmarkEnd w:id="111"/>
            <w:bookmarkEnd w:id="112"/>
            <w:bookmarkEnd w:id="113"/>
          </w:p>
          <w:p w:rsidR="00481206" w:rsidRPr="00481206" w:rsidRDefault="00481206" w:rsidP="00CF0F4C">
            <w:pPr>
              <w:rPr>
                <w:rFonts w:ascii="宋体" w:hAnsi="宋体"/>
                <w:bCs/>
                <w:szCs w:val="21"/>
              </w:rPr>
            </w:pPr>
            <w:r w:rsidRPr="00481206">
              <w:rPr>
                <w:rFonts w:ascii="宋体" w:hAnsi="宋体" w:hint="eastAsia"/>
                <w:bCs/>
                <w:szCs w:val="21"/>
              </w:rPr>
              <w:t>第二节 金融期货套期保值的基本步骤</w:t>
            </w:r>
          </w:p>
          <w:p w:rsidR="00481206" w:rsidRPr="00481206" w:rsidRDefault="00481206" w:rsidP="00CF0F4C">
            <w:pPr>
              <w:outlineLvl w:val="0"/>
              <w:rPr>
                <w:rFonts w:ascii="宋体" w:hAnsi="宋体"/>
                <w:bCs/>
                <w:szCs w:val="21"/>
              </w:rPr>
            </w:pPr>
            <w:bookmarkStart w:id="114" w:name="_Toc444349760"/>
            <w:bookmarkStart w:id="115" w:name="_Toc444350111"/>
            <w:bookmarkStart w:id="116" w:name="_Toc474271586"/>
            <w:r w:rsidRPr="00481206">
              <w:rPr>
                <w:rFonts w:ascii="宋体" w:hAnsi="宋体" w:hint="eastAsia"/>
                <w:bCs/>
                <w:szCs w:val="21"/>
              </w:rPr>
              <w:t>一、套期保值时需要考虑的问题</w:t>
            </w:r>
            <w:bookmarkEnd w:id="114"/>
            <w:bookmarkEnd w:id="115"/>
            <w:bookmarkEnd w:id="116"/>
          </w:p>
          <w:p w:rsidR="00481206" w:rsidRPr="00481206" w:rsidRDefault="00481206" w:rsidP="00CF0F4C">
            <w:pPr>
              <w:outlineLvl w:val="0"/>
              <w:rPr>
                <w:rFonts w:ascii="宋体" w:hAnsi="宋体"/>
                <w:bCs/>
                <w:szCs w:val="21"/>
              </w:rPr>
            </w:pPr>
            <w:bookmarkStart w:id="117" w:name="_Toc444349761"/>
            <w:bookmarkStart w:id="118" w:name="_Toc444350112"/>
            <w:bookmarkStart w:id="119" w:name="_Toc474271587"/>
            <w:r w:rsidRPr="00481206">
              <w:rPr>
                <w:rFonts w:ascii="宋体" w:hAnsi="宋体" w:hint="eastAsia"/>
                <w:bCs/>
                <w:szCs w:val="21"/>
              </w:rPr>
              <w:t>二、金融期货套期保值的基本步骤</w:t>
            </w:r>
            <w:bookmarkEnd w:id="117"/>
            <w:bookmarkEnd w:id="118"/>
            <w:bookmarkEnd w:id="119"/>
          </w:p>
        </w:tc>
        <w:tc>
          <w:tcPr>
            <w:tcW w:w="1519" w:type="dxa"/>
            <w:vAlign w:val="center"/>
          </w:tcPr>
          <w:p w:rsidR="00481206" w:rsidRPr="00481206" w:rsidRDefault="00481206" w:rsidP="00CF0F4C">
            <w:pPr>
              <w:spacing w:line="360" w:lineRule="auto"/>
              <w:jc w:val="center"/>
              <w:rPr>
                <w:rFonts w:ascii="宋体" w:hAnsi="宋体" w:cs="宋体"/>
                <w:sz w:val="24"/>
              </w:rPr>
            </w:pPr>
            <w:r w:rsidRPr="00481206">
              <w:rPr>
                <w:rFonts w:ascii="宋体" w:hAnsi="宋体" w:cs="宋体" w:hint="eastAsia"/>
                <w:sz w:val="24"/>
              </w:rPr>
              <w:t>4</w:t>
            </w:r>
          </w:p>
        </w:tc>
      </w:tr>
      <w:tr w:rsidR="00481206" w:rsidRPr="00481206" w:rsidTr="00CF0F4C">
        <w:tc>
          <w:tcPr>
            <w:tcW w:w="1998" w:type="dxa"/>
            <w:vAlign w:val="center"/>
          </w:tcPr>
          <w:p w:rsidR="00481206" w:rsidRPr="00481206" w:rsidRDefault="00481206" w:rsidP="00CF0F4C">
            <w:pPr>
              <w:spacing w:line="360" w:lineRule="auto"/>
              <w:rPr>
                <w:rFonts w:ascii="宋体" w:hAnsi="宋体" w:cs="宋体"/>
                <w:szCs w:val="21"/>
              </w:rPr>
            </w:pPr>
            <w:r w:rsidRPr="00481206">
              <w:rPr>
                <w:rFonts w:ascii="宋体" w:hAnsi="宋体" w:cs="宋体" w:hint="eastAsia"/>
                <w:szCs w:val="21"/>
              </w:rPr>
              <w:t>第五章（共4节）</w:t>
            </w:r>
          </w:p>
        </w:tc>
        <w:tc>
          <w:tcPr>
            <w:tcW w:w="5145" w:type="dxa"/>
          </w:tcPr>
          <w:p w:rsidR="00481206" w:rsidRPr="00481206" w:rsidRDefault="00481206" w:rsidP="00CF0F4C">
            <w:pPr>
              <w:rPr>
                <w:rFonts w:ascii="宋体" w:hAnsi="宋体"/>
                <w:bCs/>
                <w:szCs w:val="21"/>
              </w:rPr>
            </w:pPr>
            <w:r w:rsidRPr="00481206">
              <w:rPr>
                <w:rFonts w:ascii="宋体" w:hAnsi="宋体" w:hint="eastAsia"/>
                <w:bCs/>
                <w:szCs w:val="21"/>
              </w:rPr>
              <w:t>第五章 金融期货的套利和投机</w:t>
            </w:r>
          </w:p>
          <w:p w:rsidR="00481206" w:rsidRPr="00481206" w:rsidRDefault="00481206" w:rsidP="00CF0F4C">
            <w:pPr>
              <w:rPr>
                <w:rFonts w:ascii="宋体" w:hAnsi="宋体"/>
                <w:bCs/>
                <w:szCs w:val="21"/>
              </w:rPr>
            </w:pPr>
            <w:r w:rsidRPr="00481206">
              <w:rPr>
                <w:rFonts w:ascii="宋体" w:hAnsi="宋体" w:hint="eastAsia"/>
                <w:bCs/>
                <w:szCs w:val="21"/>
              </w:rPr>
              <w:t>第一节 套利和投机的异同</w:t>
            </w:r>
          </w:p>
          <w:p w:rsidR="00481206" w:rsidRPr="00481206" w:rsidRDefault="00481206" w:rsidP="00CF0F4C">
            <w:pPr>
              <w:outlineLvl w:val="0"/>
              <w:rPr>
                <w:rFonts w:ascii="宋体" w:hAnsi="宋体"/>
                <w:bCs/>
                <w:szCs w:val="21"/>
              </w:rPr>
            </w:pPr>
            <w:bookmarkStart w:id="120" w:name="_Toc444349762"/>
            <w:bookmarkStart w:id="121" w:name="_Toc444350113"/>
            <w:bookmarkStart w:id="122" w:name="_Toc474271588"/>
            <w:r w:rsidRPr="00481206">
              <w:rPr>
                <w:rFonts w:ascii="宋体" w:hAnsi="宋体" w:hint="eastAsia"/>
                <w:bCs/>
                <w:szCs w:val="21"/>
              </w:rPr>
              <w:t>一、套利的定义与性质</w:t>
            </w:r>
            <w:bookmarkEnd w:id="120"/>
            <w:bookmarkEnd w:id="121"/>
            <w:bookmarkEnd w:id="122"/>
          </w:p>
          <w:p w:rsidR="00481206" w:rsidRPr="00481206" w:rsidRDefault="00481206" w:rsidP="00CF0F4C">
            <w:pPr>
              <w:outlineLvl w:val="0"/>
              <w:rPr>
                <w:rFonts w:ascii="宋体" w:hAnsi="宋体"/>
                <w:szCs w:val="21"/>
              </w:rPr>
            </w:pPr>
            <w:bookmarkStart w:id="123" w:name="_Toc444349763"/>
            <w:bookmarkStart w:id="124" w:name="_Toc444350114"/>
            <w:bookmarkStart w:id="125" w:name="_Toc474271589"/>
            <w:r w:rsidRPr="00481206">
              <w:rPr>
                <w:rFonts w:ascii="宋体" w:hAnsi="宋体" w:hint="eastAsia"/>
                <w:szCs w:val="21"/>
              </w:rPr>
              <w:t>二、投机的定义与性质</w:t>
            </w:r>
            <w:bookmarkEnd w:id="123"/>
            <w:bookmarkEnd w:id="124"/>
            <w:bookmarkEnd w:id="125"/>
          </w:p>
          <w:p w:rsidR="00481206" w:rsidRPr="00481206" w:rsidRDefault="00481206" w:rsidP="00CF0F4C">
            <w:pPr>
              <w:outlineLvl w:val="0"/>
              <w:rPr>
                <w:rFonts w:ascii="宋体" w:hAnsi="宋体"/>
                <w:szCs w:val="21"/>
              </w:rPr>
            </w:pPr>
            <w:bookmarkStart w:id="126" w:name="_Toc444349764"/>
            <w:bookmarkStart w:id="127" w:name="_Toc444350115"/>
            <w:bookmarkStart w:id="128" w:name="_Toc474271590"/>
            <w:r w:rsidRPr="00481206">
              <w:rPr>
                <w:rFonts w:ascii="宋体" w:hAnsi="宋体" w:hint="eastAsia"/>
                <w:szCs w:val="21"/>
              </w:rPr>
              <w:t>三、套利与投机的区别</w:t>
            </w:r>
            <w:bookmarkEnd w:id="126"/>
            <w:bookmarkEnd w:id="127"/>
            <w:bookmarkEnd w:id="128"/>
          </w:p>
          <w:p w:rsidR="00481206" w:rsidRPr="00481206" w:rsidRDefault="00481206" w:rsidP="00CF0F4C">
            <w:pPr>
              <w:rPr>
                <w:rFonts w:ascii="宋体" w:hAnsi="宋体"/>
                <w:bCs/>
                <w:szCs w:val="21"/>
              </w:rPr>
            </w:pPr>
            <w:r w:rsidRPr="00481206">
              <w:rPr>
                <w:rFonts w:ascii="宋体" w:hAnsi="宋体" w:hint="eastAsia"/>
                <w:bCs/>
                <w:szCs w:val="21"/>
              </w:rPr>
              <w:t>第二节 套利和投机在金融期货交易中的作用</w:t>
            </w:r>
          </w:p>
          <w:p w:rsidR="00481206" w:rsidRPr="00481206" w:rsidRDefault="00481206" w:rsidP="00CF0F4C">
            <w:pPr>
              <w:rPr>
                <w:rFonts w:ascii="宋体" w:hAnsi="宋体"/>
                <w:bCs/>
                <w:szCs w:val="21"/>
              </w:rPr>
            </w:pPr>
            <w:r w:rsidRPr="00481206">
              <w:rPr>
                <w:rFonts w:ascii="宋体" w:hAnsi="宋体" w:hint="eastAsia"/>
                <w:bCs/>
                <w:szCs w:val="21"/>
              </w:rPr>
              <w:t>第三节 金融期货的套利策略</w:t>
            </w:r>
          </w:p>
          <w:p w:rsidR="00481206" w:rsidRPr="00481206" w:rsidRDefault="00481206" w:rsidP="00CF0F4C">
            <w:pPr>
              <w:outlineLvl w:val="0"/>
              <w:rPr>
                <w:rFonts w:ascii="宋体" w:hAnsi="宋体"/>
                <w:bCs/>
                <w:szCs w:val="21"/>
              </w:rPr>
            </w:pPr>
            <w:bookmarkStart w:id="129" w:name="_Toc444349765"/>
            <w:bookmarkStart w:id="130" w:name="_Toc444350116"/>
            <w:bookmarkStart w:id="131" w:name="_Toc474271591"/>
            <w:r w:rsidRPr="00481206">
              <w:rPr>
                <w:rFonts w:ascii="宋体" w:hAnsi="宋体" w:hint="eastAsia"/>
                <w:bCs/>
                <w:szCs w:val="21"/>
              </w:rPr>
              <w:t>一、合约内价差</w:t>
            </w:r>
            <w:bookmarkEnd w:id="129"/>
            <w:bookmarkEnd w:id="130"/>
            <w:bookmarkEnd w:id="131"/>
          </w:p>
          <w:p w:rsidR="00481206" w:rsidRPr="00481206" w:rsidRDefault="00481206" w:rsidP="00CF0F4C">
            <w:pPr>
              <w:rPr>
                <w:rFonts w:ascii="宋体" w:hAnsi="宋体"/>
                <w:bCs/>
                <w:szCs w:val="21"/>
              </w:rPr>
            </w:pPr>
            <w:r w:rsidRPr="00481206">
              <w:rPr>
                <w:rFonts w:ascii="宋体" w:hAnsi="宋体" w:hint="eastAsia"/>
                <w:bCs/>
                <w:szCs w:val="21"/>
              </w:rPr>
              <w:t>二、合约间价差</w:t>
            </w:r>
          </w:p>
          <w:p w:rsidR="00481206" w:rsidRPr="00481206" w:rsidRDefault="00481206" w:rsidP="00CF0F4C">
            <w:pPr>
              <w:rPr>
                <w:rFonts w:ascii="宋体" w:hAnsi="宋体"/>
                <w:szCs w:val="21"/>
              </w:rPr>
            </w:pPr>
            <w:r w:rsidRPr="00481206">
              <w:rPr>
                <w:rFonts w:ascii="宋体" w:hAnsi="宋体" w:hint="eastAsia"/>
                <w:szCs w:val="21"/>
              </w:rPr>
              <w:t>三、市场间价差</w:t>
            </w:r>
          </w:p>
          <w:p w:rsidR="00481206" w:rsidRPr="00481206" w:rsidRDefault="00481206" w:rsidP="00CF0F4C">
            <w:pPr>
              <w:rPr>
                <w:rFonts w:ascii="宋体" w:hAnsi="宋体"/>
                <w:bCs/>
                <w:szCs w:val="21"/>
              </w:rPr>
            </w:pPr>
            <w:r w:rsidRPr="00481206">
              <w:rPr>
                <w:rFonts w:ascii="宋体" w:hAnsi="宋体" w:hint="eastAsia"/>
                <w:bCs/>
                <w:szCs w:val="21"/>
              </w:rPr>
              <w:lastRenderedPageBreak/>
              <w:t>第四节 金融期货的投机策略</w:t>
            </w:r>
          </w:p>
          <w:p w:rsidR="00481206" w:rsidRPr="00481206" w:rsidRDefault="00481206" w:rsidP="00CF0F4C">
            <w:pPr>
              <w:outlineLvl w:val="0"/>
              <w:rPr>
                <w:rFonts w:ascii="宋体" w:hAnsi="宋体"/>
                <w:szCs w:val="21"/>
              </w:rPr>
            </w:pPr>
            <w:bookmarkStart w:id="132" w:name="_Toc444349766"/>
            <w:bookmarkStart w:id="133" w:name="_Toc444350117"/>
            <w:bookmarkStart w:id="134" w:name="_Toc474271592"/>
            <w:r w:rsidRPr="00481206">
              <w:rPr>
                <w:rFonts w:ascii="宋体" w:hAnsi="宋体" w:hint="eastAsia"/>
                <w:szCs w:val="21"/>
              </w:rPr>
              <w:t>一、金融期货的多头投机</w:t>
            </w:r>
            <w:bookmarkEnd w:id="132"/>
            <w:bookmarkEnd w:id="133"/>
            <w:bookmarkEnd w:id="134"/>
          </w:p>
          <w:p w:rsidR="00481206" w:rsidRPr="00481206" w:rsidRDefault="00481206" w:rsidP="00CF0F4C">
            <w:pPr>
              <w:outlineLvl w:val="0"/>
              <w:rPr>
                <w:rFonts w:ascii="宋体" w:hAnsi="宋体"/>
                <w:szCs w:val="21"/>
              </w:rPr>
            </w:pPr>
            <w:bookmarkStart w:id="135" w:name="_Toc444349767"/>
            <w:bookmarkStart w:id="136" w:name="_Toc444350118"/>
            <w:bookmarkStart w:id="137" w:name="_Toc474271593"/>
            <w:r w:rsidRPr="00481206">
              <w:rPr>
                <w:rFonts w:ascii="宋体" w:hAnsi="宋体" w:hint="eastAsia"/>
                <w:szCs w:val="21"/>
              </w:rPr>
              <w:t>二、金融期货的空头投机</w:t>
            </w:r>
            <w:bookmarkEnd w:id="135"/>
            <w:bookmarkEnd w:id="136"/>
            <w:bookmarkEnd w:id="137"/>
          </w:p>
          <w:p w:rsidR="00481206" w:rsidRPr="00481206" w:rsidRDefault="00481206" w:rsidP="00CF0F4C">
            <w:pPr>
              <w:outlineLvl w:val="0"/>
              <w:rPr>
                <w:rFonts w:ascii="宋体" w:hAnsi="宋体"/>
                <w:szCs w:val="21"/>
              </w:rPr>
            </w:pPr>
            <w:bookmarkStart w:id="138" w:name="_Toc444349768"/>
            <w:bookmarkStart w:id="139" w:name="_Toc444350119"/>
            <w:bookmarkStart w:id="140" w:name="_Toc474271594"/>
            <w:r w:rsidRPr="00481206">
              <w:rPr>
                <w:rFonts w:ascii="宋体" w:hAnsi="宋体" w:hint="eastAsia"/>
                <w:szCs w:val="21"/>
              </w:rPr>
              <w:t>三、金融期货的风险防范</w:t>
            </w:r>
            <w:bookmarkEnd w:id="138"/>
            <w:bookmarkEnd w:id="139"/>
            <w:bookmarkEnd w:id="140"/>
          </w:p>
        </w:tc>
        <w:tc>
          <w:tcPr>
            <w:tcW w:w="1519" w:type="dxa"/>
            <w:vAlign w:val="center"/>
          </w:tcPr>
          <w:p w:rsidR="00481206" w:rsidRPr="00481206" w:rsidRDefault="00481206" w:rsidP="00CF0F4C">
            <w:pPr>
              <w:spacing w:line="360" w:lineRule="auto"/>
              <w:jc w:val="center"/>
              <w:rPr>
                <w:rFonts w:ascii="宋体" w:hAnsi="宋体" w:cs="宋体"/>
                <w:sz w:val="24"/>
              </w:rPr>
            </w:pPr>
            <w:r w:rsidRPr="00481206">
              <w:rPr>
                <w:rFonts w:ascii="宋体" w:hAnsi="宋体" w:cs="宋体" w:hint="eastAsia"/>
                <w:sz w:val="24"/>
              </w:rPr>
              <w:lastRenderedPageBreak/>
              <w:t>2</w:t>
            </w:r>
          </w:p>
        </w:tc>
      </w:tr>
      <w:tr w:rsidR="00481206" w:rsidRPr="00481206" w:rsidTr="00CF0F4C">
        <w:tc>
          <w:tcPr>
            <w:tcW w:w="1998" w:type="dxa"/>
            <w:vAlign w:val="center"/>
          </w:tcPr>
          <w:p w:rsidR="00481206" w:rsidRPr="00481206" w:rsidRDefault="00481206" w:rsidP="00CF0F4C">
            <w:pPr>
              <w:pStyle w:val="af2"/>
              <w:spacing w:line="360" w:lineRule="auto"/>
              <w:ind w:firstLineChars="0" w:firstLine="0"/>
              <w:rPr>
                <w:rFonts w:ascii="宋体" w:hAnsi="宋体" w:cs="宋体"/>
                <w:szCs w:val="21"/>
              </w:rPr>
            </w:pPr>
            <w:r w:rsidRPr="00481206">
              <w:rPr>
                <w:rFonts w:ascii="宋体" w:hAnsi="宋体" w:cs="宋体" w:hint="eastAsia"/>
                <w:szCs w:val="21"/>
              </w:rPr>
              <w:lastRenderedPageBreak/>
              <w:t>第六章（共3节）</w:t>
            </w:r>
          </w:p>
        </w:tc>
        <w:tc>
          <w:tcPr>
            <w:tcW w:w="5145" w:type="dxa"/>
          </w:tcPr>
          <w:p w:rsidR="00481206" w:rsidRPr="00481206" w:rsidRDefault="00481206" w:rsidP="00CF0F4C">
            <w:pPr>
              <w:rPr>
                <w:rFonts w:ascii="宋体" w:hAnsi="宋体"/>
                <w:bCs/>
                <w:szCs w:val="21"/>
              </w:rPr>
            </w:pPr>
            <w:r w:rsidRPr="00481206">
              <w:rPr>
                <w:rFonts w:ascii="宋体" w:hAnsi="宋体" w:cs="宋体" w:hint="eastAsia"/>
                <w:bCs/>
                <w:szCs w:val="21"/>
              </w:rPr>
              <w:t xml:space="preserve">第六章  </w:t>
            </w:r>
            <w:r w:rsidRPr="00481206">
              <w:rPr>
                <w:rFonts w:ascii="宋体" w:hAnsi="宋体" w:hint="eastAsia"/>
                <w:bCs/>
                <w:szCs w:val="21"/>
              </w:rPr>
              <w:t>金融期权概述</w:t>
            </w:r>
          </w:p>
          <w:p w:rsidR="00481206" w:rsidRPr="00481206" w:rsidRDefault="00481206" w:rsidP="00CF0F4C">
            <w:pPr>
              <w:rPr>
                <w:rFonts w:ascii="宋体" w:hAnsi="宋体"/>
                <w:bCs/>
                <w:szCs w:val="21"/>
              </w:rPr>
            </w:pPr>
            <w:r w:rsidRPr="00481206">
              <w:rPr>
                <w:rFonts w:ascii="宋体" w:hAnsi="宋体" w:hint="eastAsia"/>
                <w:bCs/>
                <w:szCs w:val="21"/>
              </w:rPr>
              <w:t>第一节 金融期权的定义和种类</w:t>
            </w:r>
          </w:p>
          <w:p w:rsidR="00481206" w:rsidRPr="00481206" w:rsidRDefault="00481206" w:rsidP="00CF0F4C">
            <w:pPr>
              <w:rPr>
                <w:rFonts w:ascii="宋体" w:hAnsi="宋体"/>
                <w:bCs/>
                <w:szCs w:val="21"/>
              </w:rPr>
            </w:pPr>
            <w:r w:rsidRPr="00481206">
              <w:rPr>
                <w:rFonts w:ascii="宋体" w:hAnsi="宋体" w:hint="eastAsia"/>
                <w:bCs/>
                <w:szCs w:val="21"/>
              </w:rPr>
              <w:t>一、金融期权的定义</w:t>
            </w:r>
          </w:p>
          <w:p w:rsidR="00481206" w:rsidRPr="00481206" w:rsidRDefault="00481206" w:rsidP="00CF0F4C">
            <w:pPr>
              <w:rPr>
                <w:rFonts w:ascii="宋体" w:hAnsi="宋体"/>
                <w:bCs/>
                <w:szCs w:val="21"/>
              </w:rPr>
            </w:pPr>
            <w:r w:rsidRPr="00481206">
              <w:rPr>
                <w:rFonts w:ascii="宋体" w:hAnsi="宋体" w:hint="eastAsia"/>
                <w:bCs/>
                <w:szCs w:val="21"/>
              </w:rPr>
              <w:t>二、金融期权的种类</w:t>
            </w:r>
          </w:p>
          <w:p w:rsidR="00481206" w:rsidRPr="00481206" w:rsidRDefault="00481206" w:rsidP="00CF0F4C">
            <w:pPr>
              <w:rPr>
                <w:rFonts w:ascii="宋体" w:hAnsi="宋体"/>
                <w:bCs/>
                <w:szCs w:val="21"/>
              </w:rPr>
            </w:pPr>
            <w:r w:rsidRPr="00481206">
              <w:rPr>
                <w:rFonts w:ascii="宋体" w:hAnsi="宋体" w:hint="eastAsia"/>
                <w:bCs/>
                <w:szCs w:val="21"/>
              </w:rPr>
              <w:t>三、金融期权和期货的区别和联系</w:t>
            </w:r>
          </w:p>
          <w:p w:rsidR="00481206" w:rsidRPr="00481206" w:rsidRDefault="00481206" w:rsidP="00CF0F4C">
            <w:pPr>
              <w:rPr>
                <w:rFonts w:ascii="宋体" w:hAnsi="宋体"/>
                <w:bCs/>
                <w:szCs w:val="21"/>
              </w:rPr>
            </w:pPr>
            <w:r w:rsidRPr="00481206">
              <w:rPr>
                <w:rFonts w:ascii="宋体" w:hAnsi="宋体" w:hint="eastAsia"/>
                <w:bCs/>
                <w:szCs w:val="21"/>
              </w:rPr>
              <w:t>第二节 金融期权的回报及盈亏分布</w:t>
            </w:r>
          </w:p>
          <w:p w:rsidR="00481206" w:rsidRPr="00481206" w:rsidRDefault="00481206" w:rsidP="00CF0F4C">
            <w:pPr>
              <w:rPr>
                <w:rFonts w:ascii="宋体" w:hAnsi="宋体"/>
                <w:bCs/>
                <w:szCs w:val="21"/>
              </w:rPr>
            </w:pPr>
            <w:r w:rsidRPr="00481206">
              <w:rPr>
                <w:rFonts w:ascii="宋体" w:hAnsi="宋体" w:hint="eastAsia"/>
                <w:bCs/>
                <w:szCs w:val="21"/>
              </w:rPr>
              <w:t>一、买进看涨期权</w:t>
            </w:r>
          </w:p>
          <w:p w:rsidR="00481206" w:rsidRPr="00481206" w:rsidRDefault="00481206" w:rsidP="00CF0F4C">
            <w:pPr>
              <w:rPr>
                <w:rFonts w:ascii="宋体" w:hAnsi="宋体"/>
                <w:bCs/>
                <w:szCs w:val="21"/>
              </w:rPr>
            </w:pPr>
            <w:r w:rsidRPr="00481206">
              <w:rPr>
                <w:rFonts w:ascii="宋体" w:hAnsi="宋体" w:hint="eastAsia"/>
                <w:bCs/>
                <w:szCs w:val="21"/>
              </w:rPr>
              <w:t>二、卖出看涨期权</w:t>
            </w:r>
          </w:p>
          <w:p w:rsidR="00481206" w:rsidRPr="00481206" w:rsidRDefault="00481206" w:rsidP="00CF0F4C">
            <w:pPr>
              <w:rPr>
                <w:rFonts w:ascii="宋体" w:hAnsi="宋体"/>
                <w:bCs/>
                <w:szCs w:val="21"/>
              </w:rPr>
            </w:pPr>
            <w:r w:rsidRPr="00481206">
              <w:rPr>
                <w:rFonts w:ascii="宋体" w:hAnsi="宋体" w:hint="eastAsia"/>
                <w:bCs/>
                <w:szCs w:val="21"/>
              </w:rPr>
              <w:t>三、买进看跌期权</w:t>
            </w:r>
          </w:p>
          <w:p w:rsidR="00481206" w:rsidRPr="00481206" w:rsidRDefault="00481206" w:rsidP="00CF0F4C">
            <w:pPr>
              <w:rPr>
                <w:rFonts w:ascii="宋体" w:hAnsi="宋体"/>
                <w:bCs/>
                <w:szCs w:val="21"/>
              </w:rPr>
            </w:pPr>
            <w:r w:rsidRPr="00481206">
              <w:rPr>
                <w:rFonts w:ascii="宋体" w:hAnsi="宋体" w:hint="eastAsia"/>
                <w:bCs/>
                <w:szCs w:val="21"/>
              </w:rPr>
              <w:t>四、卖出看跌期权</w:t>
            </w:r>
          </w:p>
          <w:p w:rsidR="00481206" w:rsidRPr="00481206" w:rsidRDefault="00481206" w:rsidP="00CF0F4C">
            <w:pPr>
              <w:rPr>
                <w:rFonts w:ascii="宋体" w:hAnsi="宋体"/>
                <w:bCs/>
                <w:szCs w:val="21"/>
              </w:rPr>
            </w:pPr>
            <w:r w:rsidRPr="00481206">
              <w:rPr>
                <w:rFonts w:ascii="宋体" w:hAnsi="宋体" w:hint="eastAsia"/>
                <w:bCs/>
                <w:szCs w:val="21"/>
              </w:rPr>
              <w:t>五、期权的到期回报公式</w:t>
            </w:r>
          </w:p>
          <w:p w:rsidR="00481206" w:rsidRPr="00481206" w:rsidRDefault="00481206" w:rsidP="00CF0F4C">
            <w:pPr>
              <w:rPr>
                <w:rFonts w:ascii="宋体" w:hAnsi="宋体"/>
                <w:bCs/>
                <w:szCs w:val="21"/>
              </w:rPr>
            </w:pPr>
            <w:r w:rsidRPr="00481206">
              <w:rPr>
                <w:rFonts w:ascii="宋体" w:hAnsi="宋体" w:hint="eastAsia"/>
                <w:bCs/>
                <w:szCs w:val="21"/>
              </w:rPr>
              <w:t>第三节 金融期权市场的交易制度</w:t>
            </w:r>
          </w:p>
          <w:p w:rsidR="00481206" w:rsidRPr="00481206" w:rsidRDefault="00481206" w:rsidP="00CF0F4C">
            <w:pPr>
              <w:rPr>
                <w:rFonts w:ascii="宋体" w:hAnsi="宋体"/>
                <w:bCs/>
                <w:szCs w:val="21"/>
              </w:rPr>
            </w:pPr>
            <w:r w:rsidRPr="00481206">
              <w:rPr>
                <w:rFonts w:ascii="宋体" w:hAnsi="宋体" w:hint="eastAsia"/>
                <w:bCs/>
                <w:szCs w:val="21"/>
              </w:rPr>
              <w:t>一、金融期权合约的标准化</w:t>
            </w:r>
          </w:p>
          <w:p w:rsidR="00481206" w:rsidRPr="00481206" w:rsidRDefault="00481206" w:rsidP="00CF0F4C">
            <w:pPr>
              <w:rPr>
                <w:rFonts w:ascii="宋体" w:hAnsi="宋体"/>
                <w:bCs/>
                <w:szCs w:val="21"/>
              </w:rPr>
            </w:pPr>
            <w:r w:rsidRPr="00481206">
              <w:rPr>
                <w:rFonts w:ascii="宋体" w:hAnsi="宋体" w:hint="eastAsia"/>
                <w:bCs/>
                <w:szCs w:val="21"/>
              </w:rPr>
              <w:t>二、金融期权合约的基本交易制度</w:t>
            </w:r>
          </w:p>
        </w:tc>
        <w:tc>
          <w:tcPr>
            <w:tcW w:w="1519" w:type="dxa"/>
            <w:vAlign w:val="center"/>
          </w:tcPr>
          <w:p w:rsidR="00481206" w:rsidRPr="00481206" w:rsidRDefault="00481206" w:rsidP="00CF0F4C">
            <w:pPr>
              <w:spacing w:line="360" w:lineRule="auto"/>
              <w:jc w:val="center"/>
              <w:rPr>
                <w:rFonts w:ascii="宋体" w:hAnsi="宋体" w:cs="宋体"/>
                <w:sz w:val="24"/>
              </w:rPr>
            </w:pPr>
            <w:r w:rsidRPr="00481206">
              <w:rPr>
                <w:rFonts w:ascii="宋体" w:hAnsi="宋体" w:cs="宋体" w:hint="eastAsia"/>
                <w:sz w:val="24"/>
              </w:rPr>
              <w:t>2</w:t>
            </w:r>
          </w:p>
        </w:tc>
      </w:tr>
      <w:tr w:rsidR="00481206" w:rsidRPr="00481206" w:rsidTr="00CF0F4C">
        <w:tc>
          <w:tcPr>
            <w:tcW w:w="1998" w:type="dxa"/>
            <w:vAlign w:val="center"/>
          </w:tcPr>
          <w:p w:rsidR="00481206" w:rsidRPr="00481206" w:rsidRDefault="00481206" w:rsidP="00CF0F4C">
            <w:pPr>
              <w:pStyle w:val="af2"/>
              <w:spacing w:line="360" w:lineRule="auto"/>
              <w:ind w:firstLineChars="0" w:firstLine="0"/>
              <w:rPr>
                <w:rFonts w:ascii="宋体" w:hAnsi="宋体" w:cs="宋体"/>
                <w:szCs w:val="21"/>
              </w:rPr>
            </w:pPr>
            <w:r w:rsidRPr="00481206">
              <w:rPr>
                <w:rFonts w:ascii="宋体" w:hAnsi="宋体" w:cs="宋体" w:hint="eastAsia"/>
                <w:szCs w:val="21"/>
              </w:rPr>
              <w:t>第七章（共2节）</w:t>
            </w:r>
          </w:p>
        </w:tc>
        <w:tc>
          <w:tcPr>
            <w:tcW w:w="5145" w:type="dxa"/>
          </w:tcPr>
          <w:p w:rsidR="00481206" w:rsidRPr="00481206" w:rsidRDefault="00481206" w:rsidP="00CF0F4C">
            <w:pPr>
              <w:rPr>
                <w:rFonts w:ascii="宋体" w:hAnsi="宋体"/>
                <w:bCs/>
                <w:szCs w:val="21"/>
              </w:rPr>
            </w:pPr>
            <w:r w:rsidRPr="00481206">
              <w:rPr>
                <w:rFonts w:ascii="宋体" w:hAnsi="宋体" w:hint="eastAsia"/>
                <w:bCs/>
                <w:szCs w:val="21"/>
              </w:rPr>
              <w:t>第七章 金融期权的价格特性及定价</w:t>
            </w:r>
          </w:p>
          <w:p w:rsidR="00481206" w:rsidRPr="00481206" w:rsidRDefault="00481206" w:rsidP="00CF0F4C">
            <w:pPr>
              <w:rPr>
                <w:rFonts w:ascii="宋体" w:hAnsi="宋体"/>
                <w:bCs/>
                <w:szCs w:val="21"/>
              </w:rPr>
            </w:pPr>
            <w:r w:rsidRPr="00481206">
              <w:rPr>
                <w:rFonts w:ascii="宋体" w:hAnsi="宋体" w:hint="eastAsia"/>
                <w:bCs/>
                <w:szCs w:val="21"/>
              </w:rPr>
              <w:t>第一节 金融期权的价格特性</w:t>
            </w:r>
          </w:p>
          <w:p w:rsidR="00481206" w:rsidRPr="00481206" w:rsidRDefault="00481206" w:rsidP="00CF0F4C">
            <w:pPr>
              <w:rPr>
                <w:rFonts w:ascii="宋体" w:hAnsi="宋体"/>
                <w:bCs/>
                <w:szCs w:val="21"/>
              </w:rPr>
            </w:pPr>
            <w:r w:rsidRPr="00481206">
              <w:rPr>
                <w:rFonts w:ascii="宋体" w:hAnsi="宋体" w:hint="eastAsia"/>
                <w:bCs/>
                <w:szCs w:val="21"/>
              </w:rPr>
              <w:t>一、金融期权的内在价值</w:t>
            </w:r>
          </w:p>
          <w:p w:rsidR="00481206" w:rsidRPr="00481206" w:rsidRDefault="00481206" w:rsidP="00CF0F4C">
            <w:pPr>
              <w:rPr>
                <w:rFonts w:ascii="宋体" w:hAnsi="宋体"/>
                <w:bCs/>
                <w:szCs w:val="21"/>
              </w:rPr>
            </w:pPr>
            <w:r w:rsidRPr="00481206">
              <w:rPr>
                <w:rFonts w:ascii="宋体" w:hAnsi="宋体" w:hint="eastAsia"/>
                <w:bCs/>
                <w:szCs w:val="21"/>
              </w:rPr>
              <w:t>二、金融期权时间价值</w:t>
            </w:r>
          </w:p>
          <w:p w:rsidR="00481206" w:rsidRPr="00481206" w:rsidRDefault="00481206" w:rsidP="00CF0F4C">
            <w:pPr>
              <w:rPr>
                <w:rFonts w:ascii="宋体" w:hAnsi="宋体"/>
                <w:bCs/>
                <w:szCs w:val="21"/>
              </w:rPr>
            </w:pPr>
            <w:r w:rsidRPr="00481206">
              <w:rPr>
                <w:rFonts w:ascii="宋体" w:hAnsi="宋体" w:hint="eastAsia"/>
                <w:bCs/>
                <w:szCs w:val="21"/>
              </w:rPr>
              <w:t>三、金融期权价格的影响因素</w:t>
            </w:r>
          </w:p>
          <w:p w:rsidR="00481206" w:rsidRPr="00481206" w:rsidRDefault="00481206" w:rsidP="00CF0F4C">
            <w:pPr>
              <w:rPr>
                <w:rFonts w:ascii="宋体" w:hAnsi="宋体"/>
                <w:bCs/>
                <w:szCs w:val="21"/>
              </w:rPr>
            </w:pPr>
            <w:r w:rsidRPr="00481206">
              <w:rPr>
                <w:rFonts w:ascii="宋体" w:hAnsi="宋体" w:hint="eastAsia"/>
                <w:bCs/>
                <w:szCs w:val="21"/>
              </w:rPr>
              <w:t>四、金融期权价格的上下限</w:t>
            </w:r>
          </w:p>
          <w:p w:rsidR="00481206" w:rsidRPr="00481206" w:rsidRDefault="00481206" w:rsidP="00CF0F4C">
            <w:pPr>
              <w:rPr>
                <w:rFonts w:ascii="宋体" w:hAnsi="宋体"/>
                <w:bCs/>
                <w:szCs w:val="21"/>
              </w:rPr>
            </w:pPr>
            <w:r w:rsidRPr="00481206">
              <w:rPr>
                <w:rFonts w:ascii="宋体" w:hAnsi="宋体" w:hint="eastAsia"/>
                <w:bCs/>
                <w:szCs w:val="21"/>
              </w:rPr>
              <w:t>五、看涨期权和看跌期权之间的平价关系（put-call parity,PCR）</w:t>
            </w:r>
          </w:p>
          <w:p w:rsidR="00481206" w:rsidRPr="00481206" w:rsidRDefault="00481206" w:rsidP="00CF0F4C">
            <w:pPr>
              <w:rPr>
                <w:rFonts w:ascii="宋体" w:hAnsi="宋体"/>
                <w:bCs/>
                <w:szCs w:val="21"/>
              </w:rPr>
            </w:pPr>
            <w:r w:rsidRPr="00481206">
              <w:rPr>
                <w:rFonts w:ascii="宋体" w:hAnsi="宋体" w:hint="eastAsia"/>
                <w:bCs/>
                <w:szCs w:val="21"/>
              </w:rPr>
              <w:t>第二节 金融期权的定价</w:t>
            </w:r>
          </w:p>
          <w:p w:rsidR="00481206" w:rsidRPr="00481206" w:rsidRDefault="00481206" w:rsidP="00CF0F4C">
            <w:pPr>
              <w:rPr>
                <w:rFonts w:ascii="宋体" w:hAnsi="宋体"/>
                <w:bCs/>
                <w:szCs w:val="21"/>
              </w:rPr>
            </w:pPr>
            <w:r w:rsidRPr="00481206">
              <w:rPr>
                <w:rFonts w:ascii="宋体" w:hAnsi="宋体" w:hint="eastAsia"/>
                <w:bCs/>
                <w:szCs w:val="21"/>
              </w:rPr>
              <w:t>一、Black-Scholes期权定价公式</w:t>
            </w:r>
          </w:p>
          <w:p w:rsidR="00481206" w:rsidRPr="00481206" w:rsidRDefault="00481206" w:rsidP="00CF0F4C">
            <w:pPr>
              <w:rPr>
                <w:rFonts w:ascii="宋体" w:hAnsi="宋体"/>
                <w:bCs/>
                <w:szCs w:val="21"/>
              </w:rPr>
            </w:pPr>
            <w:r w:rsidRPr="00481206">
              <w:rPr>
                <w:rFonts w:ascii="宋体" w:hAnsi="宋体" w:hint="eastAsia"/>
                <w:bCs/>
                <w:szCs w:val="21"/>
              </w:rPr>
              <w:t>二、二项式定价模型</w:t>
            </w:r>
          </w:p>
        </w:tc>
        <w:tc>
          <w:tcPr>
            <w:tcW w:w="1519" w:type="dxa"/>
            <w:vAlign w:val="center"/>
          </w:tcPr>
          <w:p w:rsidR="00481206" w:rsidRPr="00481206" w:rsidRDefault="00481206" w:rsidP="00CF0F4C">
            <w:pPr>
              <w:spacing w:line="360" w:lineRule="auto"/>
              <w:jc w:val="center"/>
              <w:rPr>
                <w:rFonts w:ascii="宋体" w:hAnsi="宋体" w:cs="宋体"/>
                <w:sz w:val="24"/>
              </w:rPr>
            </w:pPr>
            <w:r w:rsidRPr="00481206">
              <w:rPr>
                <w:rFonts w:ascii="宋体" w:hAnsi="宋体" w:cs="宋体" w:hint="eastAsia"/>
                <w:sz w:val="24"/>
              </w:rPr>
              <w:t>2</w:t>
            </w:r>
          </w:p>
        </w:tc>
      </w:tr>
    </w:tbl>
    <w:p w:rsidR="00481206" w:rsidRPr="00481206" w:rsidRDefault="00481206" w:rsidP="00481206">
      <w:pPr>
        <w:pStyle w:val="2"/>
        <w:spacing w:before="312" w:after="312" w:line="360" w:lineRule="auto"/>
        <w:jc w:val="center"/>
        <w:rPr>
          <w:rFonts w:ascii="黑体" w:hAnsi="黑体" w:cs="宋体"/>
          <w:sz w:val="44"/>
        </w:rPr>
      </w:pPr>
      <w:bookmarkStart w:id="141" w:name="_Toc403319295"/>
      <w:bookmarkStart w:id="142" w:name="_Toc20049"/>
      <w:bookmarkStart w:id="143" w:name="_Toc15764"/>
      <w:bookmarkStart w:id="144" w:name="_Toc3831"/>
      <w:r w:rsidRPr="00481206">
        <w:rPr>
          <w:rFonts w:hint="eastAsia"/>
        </w:rPr>
        <w:br w:type="page"/>
      </w:r>
      <w:bookmarkStart w:id="145" w:name="_Toc430423016"/>
      <w:bookmarkStart w:id="146" w:name="_Toc474271595"/>
      <w:r w:rsidRPr="00481206">
        <w:rPr>
          <w:rFonts w:ascii="黑体" w:hAnsi="黑体" w:hint="eastAsia"/>
          <w:sz w:val="44"/>
          <w:szCs w:val="44"/>
        </w:rPr>
        <w:lastRenderedPageBreak/>
        <w:t>7</w:t>
      </w:r>
      <w:bookmarkEnd w:id="141"/>
      <w:bookmarkEnd w:id="142"/>
      <w:bookmarkEnd w:id="143"/>
      <w:bookmarkEnd w:id="144"/>
      <w:r w:rsidRPr="00481206">
        <w:rPr>
          <w:rFonts w:ascii="黑体" w:hAnsi="黑体" w:hint="eastAsia"/>
          <w:sz w:val="44"/>
          <w:szCs w:val="44"/>
        </w:rPr>
        <w:t xml:space="preserve"> 课程实施</w:t>
      </w:r>
      <w:bookmarkEnd w:id="145"/>
      <w:bookmarkEnd w:id="146"/>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本课程共30学时，分为15次授课，每次课2学时，故将每个教学单元确定为2学时。学时分配：课堂讲授28学时，课堂讨论和课堂作业2学时。本课程教学实施包括：每个教学单元（每一次课或每一讲）的教学目标、教学重点、教学难点、教学内容、教学过程、教学方法、课前准备（教师、学生）、作业安排、参考资料。进度安排若无特殊情况按下面计划执行，若遇特殊情况可能会根据实际授课情况小幅度调整。每一讲教学实施的详细情况如下。</w:t>
      </w:r>
    </w:p>
    <w:p w:rsidR="00481206" w:rsidRPr="00481206" w:rsidRDefault="00481206" w:rsidP="00481206">
      <w:pPr>
        <w:pStyle w:val="3"/>
        <w:spacing w:before="0" w:after="0" w:line="360" w:lineRule="auto"/>
        <w:rPr>
          <w:rFonts w:ascii="宋体" w:hAnsi="宋体"/>
          <w:sz w:val="28"/>
        </w:rPr>
      </w:pPr>
      <w:bookmarkStart w:id="147" w:name="_Toc474271596"/>
      <w:r w:rsidRPr="00481206">
        <w:rPr>
          <w:rFonts w:ascii="宋体" w:hAnsi="宋体" w:hint="eastAsia"/>
          <w:sz w:val="28"/>
        </w:rPr>
        <w:t>7.1第一单元（共1讲）</w:t>
      </w:r>
      <w:bookmarkEnd w:id="147"/>
    </w:p>
    <w:p w:rsidR="00481206" w:rsidRPr="00481206" w:rsidRDefault="00481206" w:rsidP="00481206">
      <w:pPr>
        <w:spacing w:line="360" w:lineRule="auto"/>
        <w:ind w:firstLineChars="200" w:firstLine="480"/>
        <w:outlineLvl w:val="1"/>
        <w:rPr>
          <w:rFonts w:ascii="宋体" w:hAnsi="宋体" w:cs="宋体"/>
          <w:sz w:val="24"/>
        </w:rPr>
      </w:pPr>
      <w:bookmarkStart w:id="148" w:name="_Toc430423018"/>
      <w:bookmarkStart w:id="149" w:name="_Toc444350122"/>
      <w:bookmarkStart w:id="150" w:name="_Toc474271597"/>
      <w:r w:rsidRPr="00481206">
        <w:rPr>
          <w:rFonts w:ascii="宋体" w:hAnsi="宋体" w:cs="宋体" w:hint="eastAsia"/>
          <w:sz w:val="24"/>
        </w:rPr>
        <w:t>7.1.1教学日期</w:t>
      </w:r>
      <w:bookmarkEnd w:id="148"/>
      <w:bookmarkEnd w:id="149"/>
      <w:bookmarkEnd w:id="150"/>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151" w:name="_Toc430423019"/>
      <w:bookmarkStart w:id="152" w:name="_Toc444350123"/>
      <w:bookmarkStart w:id="153" w:name="_Toc474271598"/>
      <w:r w:rsidR="00D95E9F">
        <w:rPr>
          <w:rFonts w:ascii="宋体" w:hAnsi="宋体" w:cs="宋体" w:hint="eastAsia"/>
          <w:sz w:val="24"/>
        </w:rPr>
        <w:t>2017</w:t>
      </w:r>
      <w:r w:rsidRPr="00481206">
        <w:rPr>
          <w:rFonts w:ascii="宋体" w:hAnsi="宋体" w:cs="宋体" w:hint="eastAsia"/>
          <w:sz w:val="24"/>
        </w:rPr>
        <w:t>年</w:t>
      </w:r>
      <w:r w:rsidR="00010356">
        <w:rPr>
          <w:rFonts w:ascii="宋体" w:hAnsi="宋体" w:cs="宋体" w:hint="eastAsia"/>
          <w:sz w:val="24"/>
        </w:rPr>
        <w:t>4</w:t>
      </w:r>
      <w:r w:rsidRPr="00481206">
        <w:rPr>
          <w:rFonts w:ascii="宋体" w:hAnsi="宋体" w:cs="宋体" w:hint="eastAsia"/>
          <w:sz w:val="24"/>
        </w:rPr>
        <w:t>月</w:t>
      </w:r>
      <w:r w:rsidR="00D95E9F">
        <w:rPr>
          <w:rFonts w:ascii="宋体" w:hAnsi="宋体" w:cs="宋体" w:hint="eastAsia"/>
          <w:sz w:val="24"/>
        </w:rPr>
        <w:t>25日（周二</w:t>
      </w:r>
      <w:r w:rsidRPr="00481206">
        <w:rPr>
          <w:rFonts w:ascii="宋体" w:hAnsi="宋体" w:cs="宋体" w:hint="eastAsia"/>
          <w:sz w:val="24"/>
        </w:rPr>
        <w:t>上午</w:t>
      </w:r>
      <w:r w:rsidR="00D95E9F">
        <w:rPr>
          <w:rFonts w:ascii="宋体" w:hAnsi="宋体" w:cs="宋体" w:hint="eastAsia"/>
          <w:sz w:val="24"/>
        </w:rPr>
        <w:t>3-4</w:t>
      </w:r>
      <w:r w:rsidRPr="00481206">
        <w:rPr>
          <w:rFonts w:ascii="宋体" w:hAnsi="宋体" w:cs="宋体" w:hint="eastAsia"/>
          <w:sz w:val="24"/>
        </w:rPr>
        <w:t>，第1讲）</w:t>
      </w:r>
      <w:bookmarkEnd w:id="151"/>
      <w:bookmarkEnd w:id="152"/>
      <w:bookmarkEnd w:id="153"/>
    </w:p>
    <w:p w:rsidR="00481206" w:rsidRPr="00481206" w:rsidRDefault="00481206" w:rsidP="00481206">
      <w:pPr>
        <w:spacing w:line="360" w:lineRule="auto"/>
        <w:outlineLvl w:val="1"/>
        <w:rPr>
          <w:rFonts w:ascii="宋体" w:hAnsi="宋体" w:cs="宋体"/>
          <w:bCs/>
          <w:sz w:val="24"/>
        </w:rPr>
      </w:pPr>
      <w:r w:rsidRPr="00481206">
        <w:rPr>
          <w:rFonts w:ascii="宋体" w:hAnsi="宋体" w:cs="宋体" w:hint="eastAsia"/>
          <w:bCs/>
          <w:sz w:val="24"/>
        </w:rPr>
        <w:t xml:space="preserve">    </w:t>
      </w:r>
      <w:bookmarkStart w:id="154" w:name="_Toc430423020"/>
      <w:bookmarkStart w:id="155" w:name="_Toc444350124"/>
      <w:bookmarkStart w:id="156" w:name="_Toc474271599"/>
      <w:r w:rsidRPr="00481206">
        <w:rPr>
          <w:rFonts w:ascii="宋体" w:hAnsi="宋体" w:cs="宋体" w:hint="eastAsia"/>
          <w:sz w:val="24"/>
        </w:rPr>
        <w:t>7.1.2单元教学目标</w:t>
      </w:r>
      <w:bookmarkEnd w:id="154"/>
      <w:bookmarkEnd w:id="155"/>
      <w:bookmarkEnd w:id="156"/>
      <w:r w:rsidRPr="00481206">
        <w:rPr>
          <w:rFonts w:ascii="宋体" w:hAnsi="宋体" w:cs="宋体" w:hint="eastAsia"/>
          <w:bCs/>
          <w:sz w:val="24"/>
        </w:rPr>
        <w:tab/>
      </w:r>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157" w:name="_Toc430423021"/>
      <w:bookmarkStart w:id="158" w:name="_Toc444350125"/>
      <w:bookmarkStart w:id="159" w:name="_Toc474271600"/>
      <w:r w:rsidRPr="00481206">
        <w:rPr>
          <w:rFonts w:ascii="宋体" w:hAnsi="宋体" w:cs="宋体" w:hint="eastAsia"/>
          <w:sz w:val="24"/>
        </w:rPr>
        <w:t>了解本课程学习的主要内容和意义；了解金融衍生品发展的现状。</w:t>
      </w:r>
      <w:bookmarkEnd w:id="157"/>
      <w:bookmarkEnd w:id="158"/>
      <w:bookmarkEnd w:id="159"/>
    </w:p>
    <w:p w:rsidR="00481206" w:rsidRPr="00481206" w:rsidRDefault="00481206" w:rsidP="00481206">
      <w:pPr>
        <w:spacing w:line="360" w:lineRule="auto"/>
        <w:ind w:firstLine="480"/>
        <w:outlineLvl w:val="1"/>
        <w:rPr>
          <w:rFonts w:ascii="宋体" w:hAnsi="宋体" w:cs="宋体"/>
          <w:sz w:val="24"/>
        </w:rPr>
      </w:pPr>
      <w:bookmarkStart w:id="160" w:name="_Toc430423022"/>
      <w:bookmarkStart w:id="161" w:name="_Toc444350126"/>
      <w:bookmarkStart w:id="162" w:name="_Toc474271601"/>
      <w:r w:rsidRPr="00481206">
        <w:rPr>
          <w:rFonts w:ascii="宋体" w:hAnsi="宋体" w:cs="宋体" w:hint="eastAsia"/>
          <w:sz w:val="24"/>
        </w:rPr>
        <w:t>7.1.3单元教学内容</w:t>
      </w:r>
      <w:bookmarkEnd w:id="160"/>
      <w:bookmarkEnd w:id="161"/>
      <w:bookmarkEnd w:id="162"/>
      <w:r w:rsidRPr="00481206">
        <w:rPr>
          <w:rFonts w:ascii="宋体" w:hAnsi="宋体" w:cs="宋体" w:hint="eastAsia"/>
          <w:sz w:val="24"/>
        </w:rPr>
        <w:tab/>
      </w:r>
    </w:p>
    <w:p w:rsidR="00481206" w:rsidRPr="00481206" w:rsidRDefault="00481206" w:rsidP="00481206">
      <w:pPr>
        <w:spacing w:line="360" w:lineRule="auto"/>
        <w:ind w:firstLine="482"/>
        <w:outlineLvl w:val="1"/>
        <w:rPr>
          <w:rFonts w:ascii="宋体" w:hAnsi="宋体" w:cs="宋体"/>
          <w:bCs/>
          <w:sz w:val="24"/>
        </w:rPr>
      </w:pPr>
      <w:bookmarkStart w:id="163" w:name="_Toc444350127"/>
      <w:bookmarkStart w:id="164" w:name="_Toc474271602"/>
      <w:r w:rsidRPr="00481206">
        <w:rPr>
          <w:rFonts w:ascii="宋体" w:hAnsi="宋体" w:hint="eastAsia"/>
          <w:sz w:val="24"/>
        </w:rPr>
        <w:t>绪论</w:t>
      </w:r>
      <w:bookmarkEnd w:id="163"/>
      <w:bookmarkEnd w:id="164"/>
    </w:p>
    <w:p w:rsidR="00481206" w:rsidRPr="00481206" w:rsidRDefault="00481206" w:rsidP="00481206">
      <w:pPr>
        <w:spacing w:line="360" w:lineRule="auto"/>
        <w:ind w:firstLine="482"/>
        <w:outlineLvl w:val="0"/>
        <w:rPr>
          <w:rFonts w:ascii="宋体" w:hAnsi="宋体"/>
          <w:sz w:val="24"/>
        </w:rPr>
      </w:pPr>
      <w:bookmarkStart w:id="165" w:name="_Toc444350128"/>
      <w:bookmarkStart w:id="166" w:name="_Toc474271603"/>
      <w:r w:rsidRPr="00481206">
        <w:rPr>
          <w:rFonts w:ascii="宋体" w:hAnsi="宋体" w:hint="eastAsia"/>
          <w:sz w:val="24"/>
        </w:rPr>
        <w:t>一、为什么要学习《金融衍生产品理论与实务》？</w:t>
      </w:r>
      <w:bookmarkEnd w:id="165"/>
      <w:bookmarkEnd w:id="166"/>
    </w:p>
    <w:p w:rsidR="00481206" w:rsidRPr="00481206" w:rsidRDefault="00481206" w:rsidP="00481206">
      <w:pPr>
        <w:spacing w:line="360" w:lineRule="auto"/>
        <w:ind w:firstLine="482"/>
        <w:outlineLvl w:val="0"/>
        <w:rPr>
          <w:rFonts w:ascii="宋体" w:hAnsi="宋体"/>
          <w:sz w:val="24"/>
        </w:rPr>
      </w:pPr>
      <w:bookmarkStart w:id="167" w:name="_Toc444350129"/>
      <w:bookmarkStart w:id="168" w:name="_Toc474271604"/>
      <w:r w:rsidRPr="00481206">
        <w:rPr>
          <w:rFonts w:ascii="宋体" w:hAnsi="宋体" w:hint="eastAsia"/>
          <w:sz w:val="24"/>
        </w:rPr>
        <w:t>二、《金融衍生产品理论与实务》课程的研究内容</w:t>
      </w:r>
      <w:bookmarkEnd w:id="167"/>
      <w:bookmarkEnd w:id="168"/>
    </w:p>
    <w:p w:rsidR="00481206" w:rsidRPr="00481206" w:rsidRDefault="00481206" w:rsidP="00481206">
      <w:pPr>
        <w:spacing w:line="360" w:lineRule="auto"/>
        <w:ind w:firstLine="482"/>
        <w:rPr>
          <w:bCs/>
          <w:sz w:val="24"/>
        </w:rPr>
      </w:pPr>
      <w:r w:rsidRPr="00481206">
        <w:rPr>
          <w:rFonts w:hint="eastAsia"/>
          <w:bCs/>
          <w:sz w:val="24"/>
        </w:rPr>
        <w:t>三、《金融衍生产品理论与实务》课程的重点和难点</w:t>
      </w:r>
    </w:p>
    <w:p w:rsidR="00481206" w:rsidRPr="00481206" w:rsidRDefault="00481206" w:rsidP="00481206">
      <w:pPr>
        <w:spacing w:line="360" w:lineRule="auto"/>
        <w:ind w:firstLine="482"/>
        <w:rPr>
          <w:bCs/>
          <w:sz w:val="24"/>
        </w:rPr>
      </w:pPr>
      <w:r w:rsidRPr="00481206">
        <w:rPr>
          <w:rFonts w:hint="eastAsia"/>
          <w:bCs/>
          <w:sz w:val="24"/>
        </w:rPr>
        <w:t>四、《金融衍生产品理论与实务》课程的学习方法</w:t>
      </w:r>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169" w:name="_Toc430423036"/>
      <w:bookmarkStart w:id="170" w:name="_Toc444349779"/>
      <w:bookmarkStart w:id="171" w:name="_Toc444350130"/>
      <w:bookmarkStart w:id="172" w:name="_Toc474271605"/>
      <w:r w:rsidRPr="00481206">
        <w:rPr>
          <w:rFonts w:ascii="宋体" w:hAnsi="宋体" w:cs="宋体" w:hint="eastAsia"/>
          <w:sz w:val="24"/>
        </w:rPr>
        <w:t>【重点】</w:t>
      </w:r>
      <w:bookmarkEnd w:id="169"/>
      <w:bookmarkEnd w:id="170"/>
      <w:bookmarkEnd w:id="171"/>
      <w:bookmarkEnd w:id="172"/>
    </w:p>
    <w:p w:rsidR="00481206" w:rsidRPr="00481206" w:rsidRDefault="00481206" w:rsidP="00481206">
      <w:pPr>
        <w:spacing w:line="360" w:lineRule="auto"/>
        <w:ind w:firstLine="480"/>
        <w:outlineLvl w:val="1"/>
        <w:rPr>
          <w:rFonts w:ascii="宋体" w:hAnsi="宋体"/>
          <w:sz w:val="24"/>
        </w:rPr>
      </w:pPr>
      <w:bookmarkStart w:id="173" w:name="_Toc444349780"/>
      <w:bookmarkStart w:id="174" w:name="_Toc444350131"/>
      <w:bookmarkStart w:id="175" w:name="_Toc474271606"/>
      <w:r w:rsidRPr="00481206">
        <w:rPr>
          <w:rFonts w:ascii="宋体" w:hAnsi="宋体" w:hint="eastAsia"/>
          <w:sz w:val="24"/>
        </w:rPr>
        <w:t>《金融衍生产品理论与实务》课程的研究内容</w:t>
      </w:r>
      <w:bookmarkEnd w:id="173"/>
      <w:bookmarkEnd w:id="174"/>
      <w:bookmarkEnd w:id="175"/>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176" w:name="_Toc430423038"/>
      <w:bookmarkStart w:id="177" w:name="_Toc444349781"/>
      <w:bookmarkStart w:id="178" w:name="_Toc444350132"/>
      <w:bookmarkStart w:id="179" w:name="_Toc474271607"/>
      <w:r w:rsidRPr="00481206">
        <w:rPr>
          <w:rFonts w:ascii="宋体" w:hAnsi="宋体" w:cs="宋体" w:hint="eastAsia"/>
          <w:sz w:val="24"/>
        </w:rPr>
        <w:t>【难点</w:t>
      </w:r>
      <w:r w:rsidRPr="00481206">
        <w:rPr>
          <w:rFonts w:ascii="宋体" w:hAnsi="宋体" w:cs="宋体" w:hint="eastAsia"/>
          <w:bCs/>
          <w:sz w:val="24"/>
        </w:rPr>
        <w:t>】</w:t>
      </w:r>
      <w:bookmarkEnd w:id="176"/>
      <w:bookmarkEnd w:id="177"/>
      <w:bookmarkEnd w:id="178"/>
      <w:bookmarkEnd w:id="179"/>
    </w:p>
    <w:p w:rsidR="00481206" w:rsidRPr="00481206" w:rsidRDefault="00481206" w:rsidP="00481206">
      <w:pPr>
        <w:spacing w:line="360" w:lineRule="auto"/>
        <w:ind w:firstLineChars="200" w:firstLine="480"/>
        <w:outlineLvl w:val="1"/>
        <w:rPr>
          <w:rFonts w:ascii="宋体" w:hAnsi="宋体"/>
          <w:sz w:val="24"/>
        </w:rPr>
      </w:pPr>
      <w:bookmarkStart w:id="180" w:name="_Toc444349782"/>
      <w:bookmarkStart w:id="181" w:name="_Toc444350133"/>
      <w:bookmarkStart w:id="182" w:name="_Toc474271608"/>
      <w:bookmarkStart w:id="183" w:name="_Toc430423040"/>
      <w:r w:rsidRPr="00481206">
        <w:rPr>
          <w:rFonts w:ascii="宋体" w:hAnsi="宋体" w:hint="eastAsia"/>
          <w:sz w:val="24"/>
        </w:rPr>
        <w:t>《金融衍生产品理论与实务》课程的研究内容</w:t>
      </w:r>
      <w:bookmarkEnd w:id="180"/>
      <w:bookmarkEnd w:id="181"/>
      <w:bookmarkEnd w:id="182"/>
    </w:p>
    <w:p w:rsidR="00481206" w:rsidRPr="00481206" w:rsidRDefault="00481206" w:rsidP="00481206">
      <w:pPr>
        <w:spacing w:line="360" w:lineRule="auto"/>
        <w:ind w:firstLineChars="200" w:firstLine="480"/>
        <w:outlineLvl w:val="1"/>
        <w:rPr>
          <w:rFonts w:ascii="宋体" w:hAnsi="宋体" w:cs="宋体"/>
          <w:sz w:val="24"/>
          <w:u w:val="single"/>
        </w:rPr>
      </w:pPr>
      <w:bookmarkStart w:id="184" w:name="_Toc444349783"/>
      <w:bookmarkStart w:id="185" w:name="_Toc444350134"/>
      <w:bookmarkStart w:id="186" w:name="_Toc474271609"/>
      <w:r w:rsidRPr="00481206">
        <w:rPr>
          <w:rFonts w:ascii="宋体" w:hAnsi="宋体" w:cs="宋体" w:hint="eastAsia"/>
          <w:sz w:val="24"/>
        </w:rPr>
        <w:t>7.1.4单元教学过程</w:t>
      </w:r>
      <w:bookmarkEnd w:id="183"/>
      <w:bookmarkEnd w:id="184"/>
      <w:bookmarkEnd w:id="185"/>
      <w:bookmarkEnd w:id="186"/>
    </w:p>
    <w:p w:rsidR="00481206" w:rsidRPr="00481206" w:rsidRDefault="00481206" w:rsidP="00481206">
      <w:pPr>
        <w:spacing w:line="360" w:lineRule="auto"/>
        <w:jc w:val="center"/>
        <w:rPr>
          <w:rFonts w:ascii="宋体" w:hAnsi="宋体"/>
          <w:sz w:val="24"/>
        </w:rPr>
      </w:pPr>
      <w:r w:rsidRPr="00481206">
        <w:rPr>
          <w:rFonts w:ascii="宋体" w:hAnsi="宋体" w:hint="eastAsia"/>
          <w:sz w:val="24"/>
        </w:rPr>
        <w:t>绪   论</w:t>
      </w:r>
    </w:p>
    <w:p w:rsidR="00481206" w:rsidRPr="00481206" w:rsidRDefault="00481206" w:rsidP="00481206">
      <w:pPr>
        <w:spacing w:line="360" w:lineRule="auto"/>
        <w:ind w:firstLineChars="200" w:firstLine="480"/>
        <w:outlineLvl w:val="0"/>
        <w:rPr>
          <w:rFonts w:ascii="宋体" w:hAnsi="宋体"/>
          <w:sz w:val="24"/>
        </w:rPr>
      </w:pPr>
      <w:bookmarkStart w:id="187" w:name="_Toc444349784"/>
      <w:bookmarkStart w:id="188" w:name="_Toc444350135"/>
      <w:bookmarkStart w:id="189" w:name="_Toc474271610"/>
      <w:r w:rsidRPr="00481206">
        <w:rPr>
          <w:rFonts w:ascii="宋体" w:hAnsi="宋体" w:hint="eastAsia"/>
          <w:sz w:val="24"/>
        </w:rPr>
        <w:t>一、为什么要学习《金融衍生产品理论与实务》？</w:t>
      </w:r>
      <w:bookmarkEnd w:id="187"/>
      <w:bookmarkEnd w:id="188"/>
      <w:bookmarkEnd w:id="189"/>
    </w:p>
    <w:p w:rsidR="00481206" w:rsidRPr="00481206" w:rsidRDefault="00481206" w:rsidP="00481206">
      <w:pPr>
        <w:spacing w:line="360" w:lineRule="auto"/>
        <w:rPr>
          <w:rFonts w:ascii="宋体" w:hAnsi="宋体"/>
          <w:sz w:val="24"/>
        </w:rPr>
      </w:pPr>
      <w:r w:rsidRPr="00481206">
        <w:rPr>
          <w:rFonts w:ascii="宋体" w:hAnsi="宋体" w:hint="eastAsia"/>
          <w:sz w:val="24"/>
        </w:rPr>
        <w:t xml:space="preserve">   （一）从学科的角度</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《金融衍生产品理论与实务》课程属于微观金融学的范畴，该课程以《金融市场学》、《金融经济学》等课程为基础，在整个微观金融体系中占据非常重要的地位。</w:t>
      </w:r>
    </w:p>
    <w:p w:rsidR="00481206" w:rsidRPr="00481206" w:rsidRDefault="00EF6E22" w:rsidP="00481206">
      <w:pPr>
        <w:spacing w:line="360" w:lineRule="auto"/>
        <w:ind w:firstLineChars="196" w:firstLine="470"/>
        <w:rPr>
          <w:rFonts w:ascii="宋体" w:hAnsi="宋体"/>
          <w:bCs/>
          <w:sz w:val="24"/>
        </w:rPr>
      </w:pPr>
      <w:r>
        <w:rPr>
          <w:rFonts w:ascii="宋体" w:hAnsi="宋体"/>
          <w:bCs/>
          <w:sz w:val="24"/>
        </w:rPr>
      </w:r>
      <w:r>
        <w:rPr>
          <w:rFonts w:ascii="宋体" w:hAnsi="宋体"/>
          <w:bCs/>
          <w:sz w:val="24"/>
        </w:rPr>
        <w:pict>
          <v:group id="_x0000_s1275" editas="canvas" style="width:414pt;height:171.6pt;mso-position-horizontal-relative:char;mso-position-vertical-relative:line" coordorigin="2362,4938" coordsize="7200,298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6" type="#_x0000_t75" style="position:absolute;left:2362;top:4938;width:7200;height:2989" o:preferrelative="f">
              <v:fill o:detectmouseclick="t"/>
              <v:path o:extrusionok="t" o:connecttype="none"/>
              <o:lock v:ext="edit" text="t"/>
            </v:shape>
            <v:rect id="_x0000_s1277" style="position:absolute;left:2832;top:5753;width:469;height:1495">
              <v:textbox style="mso-next-textbox:#_x0000_s1277">
                <w:txbxContent>
                  <w:p w:rsidR="00481206" w:rsidRDefault="00481206" w:rsidP="00481206">
                    <w:r>
                      <w:rPr>
                        <w:rFonts w:hint="eastAsia"/>
                      </w:rPr>
                      <w:t>微观金融学</w:t>
                    </w:r>
                  </w:p>
                </w:txbxContent>
              </v:textbox>
            </v:rect>
            <v:line id="_x0000_s1278" style="position:absolute" from="3301,6433" to="3458,6433"/>
            <v:rect id="_x0000_s1279" style="position:absolute;left:3458;top:6161;width:1252;height:407">
              <v:textbox style="mso-next-textbox:#_x0000_s1279">
                <w:txbxContent>
                  <w:p w:rsidR="00481206" w:rsidRDefault="00481206" w:rsidP="00481206">
                    <w:r>
                      <w:rPr>
                        <w:rFonts w:hint="eastAsia"/>
                      </w:rPr>
                      <w:t>金融市场学</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280" type="#_x0000_t87" style="position:absolute;left:4710;top:5346;width:782;height:2174"/>
            <v:rect id="_x0000_s1281" style="position:absolute;left:5649;top:5074;width:1253;height:407">
              <v:textbox style="mso-next-textbox:#_x0000_s1281">
                <w:txbxContent>
                  <w:p w:rsidR="00481206" w:rsidRDefault="00481206" w:rsidP="00481206">
                    <w:r>
                      <w:rPr>
                        <w:rFonts w:hint="eastAsia"/>
                      </w:rPr>
                      <w:t>金融经济学</w:t>
                    </w:r>
                  </w:p>
                </w:txbxContent>
              </v:textbox>
            </v:rect>
            <v:rect id="_x0000_s1282" style="position:absolute;left:5649;top:5753;width:2349;height:409">
              <v:textbox style="mso-next-textbox:#_x0000_s1282">
                <w:txbxContent>
                  <w:p w:rsidR="00481206" w:rsidRDefault="00481206" w:rsidP="00481206">
                    <w:r>
                      <w:rPr>
                        <w:rFonts w:hint="eastAsia"/>
                      </w:rPr>
                      <w:t>金融衍生产品理论与实务</w:t>
                    </w:r>
                  </w:p>
                </w:txbxContent>
              </v:textbox>
            </v:rect>
            <v:rect id="_x0000_s1283" style="position:absolute;left:5649;top:6433;width:1252;height:407">
              <v:textbox style="mso-next-textbox:#_x0000_s1283">
                <w:txbxContent>
                  <w:p w:rsidR="00481206" w:rsidRDefault="00481206" w:rsidP="00481206">
                    <w:r>
                      <w:rPr>
                        <w:rFonts w:hint="eastAsia"/>
                      </w:rPr>
                      <w:t>金融工程学</w:t>
                    </w:r>
                  </w:p>
                </w:txbxContent>
              </v:textbox>
            </v:rect>
            <v:rect id="_x0000_s1284" style="position:absolute;left:5649;top:7248;width:2035;height:407">
              <v:textbox style="mso-next-textbox:#_x0000_s1284">
                <w:txbxContent>
                  <w:p w:rsidR="00481206" w:rsidRDefault="00481206" w:rsidP="00481206">
                    <w:r>
                      <w:rPr>
                        <w:rFonts w:hint="eastAsia"/>
                      </w:rPr>
                      <w:t>微观金融学前沿理论</w:t>
                    </w:r>
                  </w:p>
                </w:txbxContent>
              </v:textbox>
            </v:rect>
            <w10:wrap type="none"/>
            <w10:anchorlock/>
          </v:group>
        </w:pict>
      </w:r>
    </w:p>
    <w:p w:rsidR="00481206" w:rsidRPr="00481206" w:rsidRDefault="00481206" w:rsidP="00481206">
      <w:pPr>
        <w:spacing w:line="360" w:lineRule="auto"/>
        <w:ind w:firstLineChars="147" w:firstLine="353"/>
        <w:rPr>
          <w:rFonts w:ascii="宋体" w:hAnsi="宋体"/>
          <w:sz w:val="24"/>
        </w:rPr>
      </w:pPr>
      <w:r w:rsidRPr="00481206">
        <w:rPr>
          <w:rFonts w:ascii="宋体" w:hAnsi="宋体" w:hint="eastAsia"/>
          <w:sz w:val="24"/>
        </w:rPr>
        <w:t>（二）从实践的角度</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1、我国属于金融创新不足的国家</w:t>
      </w:r>
    </w:p>
    <w:p w:rsidR="00481206" w:rsidRPr="00481206" w:rsidRDefault="00481206" w:rsidP="00481206">
      <w:pPr>
        <w:spacing w:line="360" w:lineRule="auto"/>
        <w:ind w:firstLineChars="150" w:firstLine="360"/>
        <w:rPr>
          <w:rFonts w:ascii="宋体" w:hAnsi="宋体"/>
          <w:sz w:val="24"/>
        </w:rPr>
      </w:pPr>
      <w:r w:rsidRPr="00481206">
        <w:rPr>
          <w:rFonts w:ascii="宋体" w:hAnsi="宋体" w:hint="eastAsia"/>
          <w:sz w:val="24"/>
        </w:rPr>
        <w:t xml:space="preserve">（1）发展时间 </w:t>
      </w:r>
    </w:p>
    <w:p w:rsidR="00481206" w:rsidRPr="00481206" w:rsidRDefault="00481206" w:rsidP="00481206">
      <w:pPr>
        <w:spacing w:line="360" w:lineRule="auto"/>
        <w:ind w:firstLine="420"/>
        <w:rPr>
          <w:rFonts w:ascii="宋体" w:hAnsi="宋体"/>
          <w:sz w:val="24"/>
        </w:rPr>
      </w:pPr>
      <w:r w:rsidRPr="00481206">
        <w:rPr>
          <w:rFonts w:ascii="宋体" w:hAnsi="宋体" w:hint="eastAsia"/>
          <w:sz w:val="24"/>
        </w:rPr>
        <w:t>商品期货发展于1990年10月27日（全国第一家商品期货市场——郑州粮食批发市场），1992年成立于第一家期货经纪公司——广东万能期货经纪公司；外汇期货于1992年推出；股指期货于2010年4月8日推出。而在发达国家，这些产品在20世纪70年代就存在了。我国金融衍生产品的发展历程还比较短，产品的种类也比较少。</w:t>
      </w:r>
    </w:p>
    <w:p w:rsidR="00481206" w:rsidRPr="00481206" w:rsidRDefault="00481206" w:rsidP="00481206">
      <w:pPr>
        <w:spacing w:line="360" w:lineRule="auto"/>
        <w:ind w:firstLineChars="150" w:firstLine="360"/>
        <w:rPr>
          <w:rFonts w:ascii="宋体" w:hAnsi="宋体"/>
          <w:sz w:val="24"/>
        </w:rPr>
      </w:pPr>
      <w:r w:rsidRPr="00481206">
        <w:rPr>
          <w:rFonts w:ascii="宋体" w:hAnsi="宋体" w:hint="eastAsia"/>
          <w:sz w:val="24"/>
        </w:rPr>
        <w:t>（2）我国资本市场的发展滞后</w:t>
      </w:r>
    </w:p>
    <w:p w:rsidR="00481206" w:rsidRPr="00481206" w:rsidRDefault="00481206" w:rsidP="00481206">
      <w:pPr>
        <w:spacing w:line="360" w:lineRule="auto"/>
        <w:ind w:firstLine="420"/>
        <w:rPr>
          <w:rFonts w:ascii="宋体" w:hAnsi="宋体"/>
          <w:sz w:val="24"/>
        </w:rPr>
      </w:pPr>
      <w:r w:rsidRPr="00481206">
        <w:rPr>
          <w:rFonts w:ascii="宋体" w:hAnsi="宋体" w:hint="eastAsia"/>
          <w:sz w:val="24"/>
        </w:rPr>
        <w:t>2009年，我国间接融资比重高达86%，直接融资为14%，资本市场没有得到充分发展，因此通过大力发展金融衍生品市场可以促进资本市场的发展。</w:t>
      </w:r>
    </w:p>
    <w:p w:rsidR="00481206" w:rsidRPr="00481206" w:rsidRDefault="00481206" w:rsidP="00481206">
      <w:pPr>
        <w:spacing w:line="360" w:lineRule="auto"/>
        <w:ind w:firstLine="420"/>
        <w:rPr>
          <w:rFonts w:ascii="宋体" w:hAnsi="宋体"/>
          <w:sz w:val="24"/>
        </w:rPr>
      </w:pPr>
      <w:r w:rsidRPr="00481206">
        <w:rPr>
          <w:rFonts w:ascii="宋体" w:hAnsi="宋体" w:hint="eastAsia"/>
          <w:sz w:val="24"/>
        </w:rPr>
        <w:t>2、风险管理的需求</w:t>
      </w:r>
    </w:p>
    <w:p w:rsidR="00481206" w:rsidRPr="00481206" w:rsidRDefault="00481206" w:rsidP="00481206">
      <w:pPr>
        <w:spacing w:line="360" w:lineRule="auto"/>
        <w:ind w:firstLine="420"/>
        <w:rPr>
          <w:rFonts w:ascii="宋体" w:hAnsi="宋体"/>
          <w:sz w:val="24"/>
        </w:rPr>
      </w:pPr>
      <w:r w:rsidRPr="00481206">
        <w:rPr>
          <w:rFonts w:ascii="宋体" w:hAnsi="宋体" w:hint="eastAsia"/>
          <w:sz w:val="24"/>
        </w:rPr>
        <w:t>由于在金融市场交易中缺乏必要的避险工具，投资者无法化解因政策变动而引发的系统性风险，投资收益与投资风险存在严重的不对称现象。比如2003年——2004年，人民银行两次大幅度提高存款准备金率，导致债券市场连续下跌，由于缺乏避险工具，造成许多金融机构严重亏损。再比如，股票市场从6000多点一路下跌至2000点，由于当时的市场没有做空机制，导致大多数投资者被严重套牢。本门课程可以更好的指导大家在以后的工作中利用金融衍生产品来进行风险管理。</w:t>
      </w:r>
    </w:p>
    <w:p w:rsidR="00481206" w:rsidRPr="00481206" w:rsidRDefault="00481206" w:rsidP="00481206">
      <w:pPr>
        <w:spacing w:line="360" w:lineRule="auto"/>
        <w:ind w:firstLine="420"/>
        <w:rPr>
          <w:rFonts w:ascii="宋体" w:hAnsi="宋体"/>
          <w:sz w:val="24"/>
        </w:rPr>
      </w:pPr>
      <w:r w:rsidRPr="00481206">
        <w:rPr>
          <w:rFonts w:ascii="宋体" w:hAnsi="宋体" w:hint="eastAsia"/>
          <w:sz w:val="24"/>
        </w:rPr>
        <w:t>3、金融危机的爆发</w:t>
      </w:r>
    </w:p>
    <w:p w:rsidR="00481206" w:rsidRPr="00481206" w:rsidRDefault="00481206" w:rsidP="00481206">
      <w:pPr>
        <w:spacing w:line="360" w:lineRule="auto"/>
        <w:ind w:firstLine="420"/>
        <w:rPr>
          <w:rFonts w:ascii="宋体" w:hAnsi="宋体"/>
          <w:sz w:val="24"/>
        </w:rPr>
      </w:pPr>
      <w:r w:rsidRPr="00481206">
        <w:rPr>
          <w:rFonts w:ascii="宋体" w:hAnsi="宋体" w:hint="eastAsia"/>
          <w:sz w:val="24"/>
        </w:rPr>
        <w:t>由2007年底，美国次贷危机所引发的全球性金融危机可以看出，金融衍生品虽然不是危机爆发的首要原因，但其确实导致了系统性风险的积累、风险的扩散和放大、金融危机的传导等问题，并对金融体系的稳定性造成威胁。因此金融危机的频繁爆发也意味着我们需要对金融衍生产品进行全面的了解和把握。</w:t>
      </w:r>
    </w:p>
    <w:p w:rsidR="00481206" w:rsidRPr="00481206" w:rsidRDefault="00481206" w:rsidP="00481206">
      <w:pPr>
        <w:spacing w:line="360" w:lineRule="auto"/>
        <w:ind w:firstLineChars="200" w:firstLine="480"/>
        <w:outlineLvl w:val="0"/>
        <w:rPr>
          <w:rFonts w:ascii="宋体" w:hAnsi="宋体"/>
          <w:sz w:val="24"/>
        </w:rPr>
      </w:pPr>
      <w:bookmarkStart w:id="190" w:name="_Toc444349785"/>
      <w:bookmarkStart w:id="191" w:name="_Toc444350136"/>
      <w:bookmarkStart w:id="192" w:name="_Toc474271611"/>
      <w:r w:rsidRPr="00481206">
        <w:rPr>
          <w:rFonts w:ascii="宋体" w:hAnsi="宋体" w:hint="eastAsia"/>
          <w:sz w:val="24"/>
        </w:rPr>
        <w:lastRenderedPageBreak/>
        <w:t>二、《金融衍生产品理论与实务》课程的研究内容</w:t>
      </w:r>
      <w:bookmarkEnd w:id="190"/>
      <w:bookmarkEnd w:id="191"/>
      <w:bookmarkEnd w:id="192"/>
    </w:p>
    <w:p w:rsidR="00481206" w:rsidRPr="00481206" w:rsidRDefault="00481206" w:rsidP="00481206">
      <w:pPr>
        <w:spacing w:line="360" w:lineRule="auto"/>
        <w:rPr>
          <w:rFonts w:ascii="宋体" w:hAnsi="宋体"/>
          <w:sz w:val="24"/>
        </w:rPr>
      </w:pPr>
      <w:r w:rsidRPr="00481206">
        <w:rPr>
          <w:rFonts w:ascii="宋体" w:hAnsi="宋体" w:hint="eastAsia"/>
          <w:sz w:val="24"/>
        </w:rPr>
        <w:t xml:space="preserve">   （一）金融衍生产品理论</w:t>
      </w:r>
    </w:p>
    <w:p w:rsidR="00481206" w:rsidRPr="00481206" w:rsidRDefault="00481206" w:rsidP="00481206">
      <w:pPr>
        <w:spacing w:line="360" w:lineRule="auto"/>
        <w:ind w:firstLineChars="150" w:firstLine="360"/>
        <w:rPr>
          <w:rFonts w:ascii="宋体" w:hAnsi="宋体"/>
          <w:sz w:val="24"/>
        </w:rPr>
      </w:pPr>
      <w:r w:rsidRPr="00481206">
        <w:rPr>
          <w:rFonts w:ascii="宋体" w:hAnsi="宋体" w:hint="eastAsia"/>
          <w:sz w:val="24"/>
        </w:rPr>
        <w:t>1、金融创新的含义</w:t>
      </w:r>
    </w:p>
    <w:p w:rsidR="00481206" w:rsidRPr="00481206" w:rsidRDefault="00481206" w:rsidP="00481206">
      <w:pPr>
        <w:spacing w:line="360" w:lineRule="auto"/>
        <w:ind w:firstLine="420"/>
        <w:rPr>
          <w:rFonts w:ascii="宋体" w:hAnsi="宋体"/>
          <w:sz w:val="24"/>
        </w:rPr>
      </w:pPr>
      <w:r w:rsidRPr="00481206">
        <w:rPr>
          <w:rFonts w:ascii="宋体" w:hAnsi="宋体" w:hint="eastAsia"/>
          <w:sz w:val="24"/>
        </w:rPr>
        <w:t>在了解金融衍生产品定义之间，首先也了解金融创新的定义：</w:t>
      </w:r>
    </w:p>
    <w:p w:rsidR="00481206" w:rsidRPr="00481206" w:rsidRDefault="00481206" w:rsidP="00481206">
      <w:pPr>
        <w:spacing w:line="360" w:lineRule="auto"/>
        <w:ind w:firstLine="420"/>
        <w:rPr>
          <w:rFonts w:ascii="宋体" w:hAnsi="宋体"/>
          <w:sz w:val="24"/>
        </w:rPr>
      </w:pPr>
      <w:r w:rsidRPr="00481206">
        <w:rPr>
          <w:rFonts w:ascii="宋体" w:hAnsi="宋体" w:hint="eastAsia"/>
          <w:sz w:val="24"/>
        </w:rPr>
        <w:t>所谓金融创新，是指金融业突破传统的经营范围和经营方式，采用新的金融技术、开办新的金融业务、创造新的金融工具、创立新的金融机构、开拓新的金融市场、实行新的金融制度，进而进行新的金融运行机制的过程。</w:t>
      </w:r>
    </w:p>
    <w:p w:rsidR="00481206" w:rsidRPr="00481206" w:rsidRDefault="00481206" w:rsidP="00481206">
      <w:pPr>
        <w:spacing w:line="360" w:lineRule="auto"/>
        <w:ind w:firstLine="420"/>
        <w:rPr>
          <w:rFonts w:ascii="宋体" w:hAnsi="宋体"/>
          <w:sz w:val="24"/>
        </w:rPr>
      </w:pPr>
      <w:r w:rsidRPr="00481206">
        <w:rPr>
          <w:rFonts w:ascii="宋体" w:hAnsi="宋体" w:hint="eastAsia"/>
          <w:sz w:val="24"/>
        </w:rPr>
        <w:t>金融创新始于20世纪60年代初，繁荣于20世纪70-80年代，金融创新产生的原因主要是两方面：</w:t>
      </w:r>
    </w:p>
    <w:p w:rsidR="00481206" w:rsidRPr="00481206" w:rsidRDefault="00481206" w:rsidP="00481206">
      <w:pPr>
        <w:spacing w:line="360" w:lineRule="auto"/>
        <w:ind w:firstLine="420"/>
        <w:rPr>
          <w:rFonts w:ascii="宋体" w:hAnsi="宋体"/>
          <w:sz w:val="24"/>
        </w:rPr>
      </w:pPr>
      <w:r w:rsidRPr="00481206">
        <w:rPr>
          <w:rFonts w:ascii="宋体" w:hAnsi="宋体" w:hint="eastAsia"/>
          <w:sz w:val="24"/>
        </w:rPr>
        <w:t>第一，规避金融管制。管制实质上是政府部门对金融企业隐含的税收，政府处于金融稳定的考虑进行管制，但又束缚了金融机构的运行，因此金融机构通过创新来规避管制。这种金融创新包括资产业务的创新、负债业务的创新以及中间业务的创新，典型的有大额可转让定期存单、自动转账账户、可转让提款通知书等。</w:t>
      </w:r>
    </w:p>
    <w:p w:rsidR="00481206" w:rsidRPr="00481206" w:rsidRDefault="00481206" w:rsidP="00481206">
      <w:pPr>
        <w:spacing w:line="360" w:lineRule="auto"/>
        <w:ind w:firstLine="420"/>
        <w:rPr>
          <w:rFonts w:ascii="宋体" w:hAnsi="宋体"/>
          <w:sz w:val="24"/>
        </w:rPr>
      </w:pPr>
      <w:r w:rsidRPr="00481206">
        <w:rPr>
          <w:rFonts w:ascii="宋体" w:hAnsi="宋体" w:hint="eastAsia"/>
          <w:sz w:val="24"/>
        </w:rPr>
        <w:t>第二，规避风险。上世纪70年代末80年代初，西方发达国家出现了严重的通货膨胀，这同时带来了市场利率的上升，由于银行具有借短贷长的特点，长期贷款利率的水平比较固定，也比较低，而吸收存款的利率一般以市场利率为主，因此银行遭受了很大的损失。同时，布雷顿森林体系的崩溃导致汇率风险的放大，并且20世纪70年代末的金融自由化也使金融风险的进一步放大。因此，金融机构开始进行金融创新来规避风险，或风险管理，这类创新就是各种各样的金融衍生产品，比如一些期货合约、期权合约、互换协议、资产证券化以及结构化金融衍生品，这些金融衍生品也逐渐成为人们进行风险管理的工具。</w:t>
      </w:r>
    </w:p>
    <w:p w:rsidR="00481206" w:rsidRPr="00481206" w:rsidRDefault="00481206" w:rsidP="00481206">
      <w:pPr>
        <w:spacing w:line="360" w:lineRule="auto"/>
        <w:ind w:firstLineChars="150" w:firstLine="360"/>
        <w:rPr>
          <w:rFonts w:ascii="宋体" w:hAnsi="宋体"/>
          <w:sz w:val="24"/>
        </w:rPr>
      </w:pPr>
      <w:r w:rsidRPr="00481206">
        <w:rPr>
          <w:rFonts w:ascii="宋体" w:hAnsi="宋体" w:hint="eastAsia"/>
          <w:sz w:val="24"/>
        </w:rPr>
        <w:t>2、金融衍生产品的含义</w:t>
      </w:r>
    </w:p>
    <w:p w:rsidR="00481206" w:rsidRPr="00481206" w:rsidRDefault="00481206" w:rsidP="00481206">
      <w:pPr>
        <w:spacing w:line="360" w:lineRule="auto"/>
        <w:rPr>
          <w:rFonts w:ascii="宋体" w:hAnsi="宋体"/>
          <w:sz w:val="24"/>
        </w:rPr>
      </w:pPr>
      <w:r w:rsidRPr="00481206">
        <w:rPr>
          <w:rFonts w:ascii="宋体" w:hAnsi="宋体" w:hint="eastAsia"/>
          <w:sz w:val="24"/>
        </w:rPr>
        <w:t xml:space="preserve">   《牛津商业词典》对金融衍生产品定义为：衍生产品是一种金融工具，其价值取决于标的资产（如商品、货币）的预期价格的变动。</w:t>
      </w:r>
    </w:p>
    <w:p w:rsidR="00481206" w:rsidRPr="00481206" w:rsidRDefault="00481206" w:rsidP="00481206">
      <w:pPr>
        <w:spacing w:line="360" w:lineRule="auto"/>
        <w:ind w:firstLine="420"/>
        <w:rPr>
          <w:rFonts w:ascii="宋体" w:hAnsi="宋体"/>
          <w:sz w:val="24"/>
        </w:rPr>
      </w:pPr>
      <w:r w:rsidRPr="00481206">
        <w:rPr>
          <w:rFonts w:ascii="宋体" w:hAnsi="宋体" w:hint="eastAsia"/>
          <w:sz w:val="24"/>
        </w:rPr>
        <w:t>美国商品期货交易委员为认为金融衍生产品是一种合约，该合约的价值直接取决于一种或多种标的证券、股价指数、债务工具、商品、其他衍生工具，或者其他任何约定的价格指数以及协议的价值。</w:t>
      </w:r>
    </w:p>
    <w:p w:rsidR="00481206" w:rsidRPr="00481206" w:rsidRDefault="00481206" w:rsidP="00481206">
      <w:pPr>
        <w:spacing w:line="360" w:lineRule="auto"/>
        <w:ind w:firstLine="420"/>
        <w:rPr>
          <w:rFonts w:ascii="宋体" w:hAnsi="宋体"/>
          <w:sz w:val="24"/>
        </w:rPr>
      </w:pPr>
      <w:r w:rsidRPr="00481206">
        <w:rPr>
          <w:rFonts w:ascii="宋体" w:hAnsi="宋体" w:hint="eastAsia"/>
          <w:sz w:val="24"/>
        </w:rPr>
        <w:t>定义：金融衍生产品是指这样一类金融工具，它们本身以金融衍生产品的标的物为基础，也就是说它们的交易是由另一类金融工具的交易所派生出来的，其价值取决于作为其标的物的基础性金融资产的价值。比如金融期货就是一种金融衍生产品，因为它是</w:t>
      </w:r>
      <w:r w:rsidRPr="00481206">
        <w:rPr>
          <w:rFonts w:ascii="宋体" w:hAnsi="宋体" w:hint="eastAsia"/>
          <w:sz w:val="24"/>
        </w:rPr>
        <w:lastRenderedPageBreak/>
        <w:t>以现货市场上的各种金融商品或金融工具作为标的物，其价值是由金融现货的价值所决定。</w:t>
      </w:r>
    </w:p>
    <w:p w:rsidR="00481206" w:rsidRPr="00481206" w:rsidRDefault="00481206" w:rsidP="00481206">
      <w:pPr>
        <w:spacing w:line="360" w:lineRule="auto"/>
        <w:ind w:firstLineChars="199" w:firstLine="478"/>
        <w:outlineLvl w:val="0"/>
        <w:rPr>
          <w:rFonts w:ascii="宋体" w:hAnsi="宋体"/>
          <w:sz w:val="24"/>
        </w:rPr>
      </w:pPr>
      <w:bookmarkStart w:id="193" w:name="_Toc444349786"/>
      <w:bookmarkStart w:id="194" w:name="_Toc444350137"/>
      <w:bookmarkStart w:id="195" w:name="_Toc474271612"/>
      <w:r w:rsidRPr="00481206">
        <w:rPr>
          <w:rFonts w:ascii="宋体" w:hAnsi="宋体" w:hint="eastAsia"/>
          <w:sz w:val="24"/>
        </w:rPr>
        <w:t>3、金融衍生产品产生与发展的原因</w:t>
      </w:r>
      <w:bookmarkEnd w:id="193"/>
      <w:bookmarkEnd w:id="194"/>
      <w:bookmarkEnd w:id="195"/>
      <w:r w:rsidRPr="00481206">
        <w:rPr>
          <w:rFonts w:ascii="宋体" w:hAnsi="宋体" w:hint="eastAsia"/>
          <w:sz w:val="24"/>
        </w:rPr>
        <w:t xml:space="preserve">   </w:t>
      </w:r>
    </w:p>
    <w:p w:rsidR="00481206" w:rsidRPr="00481206" w:rsidRDefault="00481206" w:rsidP="00481206">
      <w:pPr>
        <w:spacing w:line="360" w:lineRule="auto"/>
        <w:ind w:firstLineChars="150" w:firstLine="360"/>
        <w:rPr>
          <w:rFonts w:ascii="宋体" w:hAnsi="宋体"/>
          <w:sz w:val="24"/>
        </w:rPr>
      </w:pPr>
      <w:r w:rsidRPr="00481206">
        <w:rPr>
          <w:rFonts w:ascii="宋体" w:hAnsi="宋体" w:hint="eastAsia"/>
          <w:sz w:val="24"/>
        </w:rPr>
        <w:t xml:space="preserve"> 第一、国际金融环境的新变化与金融风险的新特征是金融衍生产品产生和发展的根本原因。70年代以来，国际金融环境的新变化即金融自由化、金融国际化以及资产证券化；而金融风险的新特征即多样化、复杂化和日益严重化。风险管理是金融衍生产品出现的重要原因。</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第二、逃避各种金融管制导致金融衍生工具的产生和发展。20世纪60-70年代，欧美各大商业银行开发出了各种新的金融业务，以逃避各种类型的金融管制，比如利率管制和外汇管制，实际上，各种金融衍生产品就是为了逃避管制而设计和推出的。</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第三、各种基础金融市场、普通商品期货与期权市场的发展为金融衍生产品的推出提供了现实的条件。各种金融衍生产品实在普通商品交易的基础上产生和发展的。</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第四、套利与投机行为对金融衍生工具的产生与发展推波助澜。资本逐利特性所形成的套利和投机行为导致金融衍生工具的不断发展和扩张。</w:t>
      </w:r>
    </w:p>
    <w:p w:rsidR="00481206" w:rsidRPr="00481206" w:rsidRDefault="00481206" w:rsidP="00481206">
      <w:pPr>
        <w:spacing w:line="360" w:lineRule="auto"/>
        <w:ind w:firstLineChars="194" w:firstLine="466"/>
        <w:rPr>
          <w:rFonts w:ascii="宋体" w:hAnsi="宋体"/>
          <w:sz w:val="24"/>
        </w:rPr>
      </w:pPr>
      <w:r w:rsidRPr="00481206">
        <w:rPr>
          <w:rFonts w:ascii="宋体" w:hAnsi="宋体" w:hint="eastAsia"/>
          <w:sz w:val="24"/>
        </w:rPr>
        <w:t>4、金融衍生产品的分类</w:t>
      </w:r>
    </w:p>
    <w:p w:rsidR="00481206" w:rsidRPr="00481206" w:rsidRDefault="00481206" w:rsidP="00481206">
      <w:pPr>
        <w:spacing w:line="360" w:lineRule="auto"/>
        <w:ind w:firstLine="420"/>
        <w:rPr>
          <w:rFonts w:ascii="宋体" w:hAnsi="宋体"/>
          <w:sz w:val="24"/>
        </w:rPr>
      </w:pPr>
      <w:r w:rsidRPr="00481206">
        <w:rPr>
          <w:rFonts w:ascii="宋体" w:hAnsi="宋体" w:hint="eastAsia"/>
          <w:sz w:val="24"/>
        </w:rPr>
        <w:t>现代意义上的金融衍生产品诞生于20世纪70年代，主要可分为：</w:t>
      </w:r>
    </w:p>
    <w:p w:rsidR="00481206" w:rsidRPr="00481206" w:rsidRDefault="00481206" w:rsidP="00481206">
      <w:pPr>
        <w:spacing w:line="360" w:lineRule="auto"/>
        <w:ind w:firstLine="420"/>
        <w:rPr>
          <w:rFonts w:ascii="宋体" w:hAnsi="宋体"/>
          <w:sz w:val="24"/>
        </w:rPr>
      </w:pPr>
      <w:r w:rsidRPr="00481206">
        <w:rPr>
          <w:rFonts w:ascii="宋体" w:hAnsi="宋体" w:hint="eastAsia"/>
          <w:sz w:val="24"/>
        </w:rPr>
        <w:t>1、金融期货：</w:t>
      </w:r>
      <w:r w:rsidRPr="00481206">
        <w:rPr>
          <w:rFonts w:ascii="宋体" w:hAnsi="宋体"/>
          <w:sz w:val="24"/>
        </w:rPr>
        <w:t>指是交易双方在金融市场上，以约定的时间和价格，买卖某种金融工具的具有约束力的标准化合约。金融期货一般分为三类，外汇期货、利率期货和股票指数期货</w:t>
      </w:r>
      <w:r w:rsidRPr="00481206">
        <w:rPr>
          <w:rFonts w:ascii="宋体" w:hAnsi="宋体" w:hint="eastAsia"/>
          <w:sz w:val="24"/>
        </w:rPr>
        <w:t>。</w:t>
      </w:r>
    </w:p>
    <w:p w:rsidR="00481206" w:rsidRPr="00481206" w:rsidRDefault="00481206" w:rsidP="00481206">
      <w:pPr>
        <w:spacing w:line="360" w:lineRule="auto"/>
        <w:ind w:firstLine="420"/>
        <w:rPr>
          <w:rFonts w:ascii="宋体" w:hAnsi="宋体"/>
          <w:sz w:val="24"/>
        </w:rPr>
      </w:pPr>
      <w:r w:rsidRPr="00481206">
        <w:rPr>
          <w:rFonts w:ascii="宋体" w:hAnsi="宋体" w:hint="eastAsia"/>
          <w:sz w:val="24"/>
        </w:rPr>
        <w:t>2、金融期权：</w:t>
      </w:r>
      <w:r w:rsidRPr="00481206">
        <w:rPr>
          <w:rFonts w:ascii="宋体" w:hAnsi="宋体"/>
          <w:sz w:val="24"/>
        </w:rPr>
        <w:t>指以金融商品或金融期货合约为标的物的期权交易。具体地说，其购买者在向出售者支付一定费用后，就获得了能在规定期限内以某一特定价格向出售者买进或卖出一定数量的某种金融商品或金融期货合约的权利</w:t>
      </w:r>
    </w:p>
    <w:p w:rsidR="00481206" w:rsidRPr="00481206" w:rsidRDefault="00481206" w:rsidP="00481206">
      <w:pPr>
        <w:spacing w:line="360" w:lineRule="auto"/>
        <w:ind w:firstLine="420"/>
        <w:rPr>
          <w:rFonts w:ascii="宋体" w:hAnsi="宋体"/>
          <w:sz w:val="24"/>
        </w:rPr>
      </w:pPr>
      <w:r w:rsidRPr="00481206">
        <w:rPr>
          <w:rFonts w:ascii="宋体" w:hAnsi="宋体" w:hint="eastAsia"/>
          <w:sz w:val="24"/>
        </w:rPr>
        <w:t>3、金融互换：</w:t>
      </w:r>
      <w:r w:rsidRPr="00481206">
        <w:rPr>
          <w:rFonts w:ascii="宋体" w:hAnsi="宋体"/>
          <w:sz w:val="24"/>
        </w:rPr>
        <w:t>是约定两个或两个以上的当事人按照商定条件，在约定的时间内，交换一系列现金流的合约。</w:t>
      </w:r>
    </w:p>
    <w:p w:rsidR="00481206" w:rsidRPr="00481206" w:rsidRDefault="00481206" w:rsidP="00481206">
      <w:pPr>
        <w:spacing w:line="360" w:lineRule="auto"/>
        <w:ind w:firstLine="420"/>
        <w:rPr>
          <w:rFonts w:ascii="宋体" w:hAnsi="宋体"/>
          <w:sz w:val="24"/>
        </w:rPr>
      </w:pPr>
      <w:r w:rsidRPr="00481206">
        <w:rPr>
          <w:rFonts w:ascii="宋体" w:hAnsi="宋体" w:hint="eastAsia"/>
          <w:sz w:val="24"/>
        </w:rPr>
        <w:t>4、各种远期协议：远期利率协议；远期外汇协议等。</w:t>
      </w:r>
    </w:p>
    <w:p w:rsidR="00481206" w:rsidRPr="00481206" w:rsidRDefault="00481206" w:rsidP="00481206">
      <w:pPr>
        <w:spacing w:line="360" w:lineRule="auto"/>
        <w:ind w:firstLine="420"/>
        <w:rPr>
          <w:rFonts w:ascii="宋体" w:hAnsi="宋体"/>
          <w:sz w:val="24"/>
        </w:rPr>
      </w:pPr>
      <w:r w:rsidRPr="00481206">
        <w:rPr>
          <w:rFonts w:ascii="宋体" w:hAnsi="宋体" w:hint="eastAsia"/>
          <w:sz w:val="24"/>
        </w:rPr>
        <w:t>5；信用衍生产品：比如信用违约掉期、抵押贷款证券化等。</w:t>
      </w:r>
    </w:p>
    <w:p w:rsidR="00481206" w:rsidRPr="00481206" w:rsidRDefault="00EF6E22" w:rsidP="00481206">
      <w:pPr>
        <w:spacing w:line="360" w:lineRule="auto"/>
        <w:ind w:firstLineChars="199" w:firstLine="478"/>
        <w:rPr>
          <w:rFonts w:ascii="宋体" w:hAnsi="宋体"/>
          <w:sz w:val="24"/>
        </w:rPr>
      </w:pPr>
      <w:r>
        <w:rPr>
          <w:rFonts w:ascii="宋体" w:hAnsi="宋体"/>
          <w:sz w:val="24"/>
        </w:rPr>
      </w:r>
      <w:r>
        <w:rPr>
          <w:rFonts w:ascii="宋体" w:hAnsi="宋体"/>
          <w:sz w:val="24"/>
        </w:rPr>
        <w:pict>
          <v:group id="_x0000_s1285" editas="canvas" style="width:415.3pt;height:317.8pt;mso-position-horizontal-relative:char;mso-position-vertical-relative:line" coordorigin="2362,9993" coordsize="8386,6428">
            <o:lock v:ext="edit" aspectratio="t"/>
            <v:shape id="_x0000_s1286" type="#_x0000_t75" style="position:absolute;left:2362;top:9993;width:8386;height:6428" o:preferrelative="f">
              <v:fill o:detectmouseclick="t"/>
              <v:path o:extrusionok="t" o:connecttype="none"/>
              <o:lock v:ext="edit" text="t"/>
            </v:shape>
            <v:group id="_x0000_s1287" style="position:absolute;left:3983;top:9993;width:6765;height:6045" coordorigin="672,192" coordsize="3696,3552">
              <v:group id="_x0000_s1288" style="position:absolute;left:1200;top:192;width:3168;height:3552" coordorigin="576,192" coordsize="3168,3552">
                <v:shapetype id="_x0000_t202" coordsize="21600,21600" o:spt="202" path="m,l,21600r21600,l21600,xe">
                  <v:stroke joinstyle="miter"/>
                  <v:path gradientshapeok="t" o:connecttype="rect"/>
                </v:shapetype>
                <v:shape id="_x0000_s1289" type="#_x0000_t202" style="position:absolute;left:576;top:1492;width:1392;height:218" filled="f" fillcolor="#0c9">
                  <v:textbox style="mso-next-textbox:#_x0000_s1289" inset="1.59461mm,.79731mm,1.59461mm,.79731mm">
                    <w:txbxContent>
                      <w:p w:rsidR="00481206" w:rsidRPr="006D37FF" w:rsidRDefault="00481206" w:rsidP="00481206">
                        <w:pPr>
                          <w:autoSpaceDE w:val="0"/>
                          <w:autoSpaceDN w:val="0"/>
                          <w:adjustRightInd w:val="0"/>
                          <w:jc w:val="center"/>
                          <w:rPr>
                            <w:rFonts w:cs="宋体"/>
                            <w:b/>
                            <w:bCs/>
                            <w:color w:val="000000"/>
                            <w:sz w:val="24"/>
                            <w:szCs w:val="28"/>
                            <w:lang w:val="zh-CN"/>
                          </w:rPr>
                        </w:pPr>
                        <w:r w:rsidRPr="006D37FF">
                          <w:rPr>
                            <w:rFonts w:cs="宋体" w:hint="eastAsia"/>
                            <w:b/>
                            <w:bCs/>
                            <w:color w:val="000000"/>
                            <w:sz w:val="24"/>
                            <w:szCs w:val="28"/>
                            <w:lang w:val="zh-CN"/>
                          </w:rPr>
                          <w:t>金融期货</w:t>
                        </w:r>
                      </w:p>
                    </w:txbxContent>
                  </v:textbox>
                </v:shape>
                <v:shape id="_x0000_s1290" type="#_x0000_t202" style="position:absolute;left:576;top:2278;width:1392;height:218" filled="f" fillcolor="#0c9">
                  <v:textbox style="mso-next-textbox:#_x0000_s1290" inset="1.59461mm,.79731mm,1.59461mm,.79731mm">
                    <w:txbxContent>
                      <w:p w:rsidR="00481206" w:rsidRPr="006D37FF" w:rsidRDefault="00481206" w:rsidP="00481206">
                        <w:pPr>
                          <w:autoSpaceDE w:val="0"/>
                          <w:autoSpaceDN w:val="0"/>
                          <w:adjustRightInd w:val="0"/>
                          <w:jc w:val="center"/>
                          <w:rPr>
                            <w:rFonts w:cs="宋体"/>
                            <w:b/>
                            <w:bCs/>
                            <w:color w:val="000000"/>
                            <w:sz w:val="24"/>
                            <w:szCs w:val="28"/>
                            <w:lang w:val="zh-CN"/>
                          </w:rPr>
                        </w:pPr>
                        <w:r w:rsidRPr="006D37FF">
                          <w:rPr>
                            <w:rFonts w:cs="宋体" w:hint="eastAsia"/>
                            <w:b/>
                            <w:bCs/>
                            <w:color w:val="000000"/>
                            <w:sz w:val="24"/>
                            <w:szCs w:val="28"/>
                            <w:lang w:val="zh-CN"/>
                          </w:rPr>
                          <w:t>金融期权</w:t>
                        </w:r>
                      </w:p>
                    </w:txbxContent>
                  </v:textbox>
                </v:shape>
                <v:shape id="_x0000_s1291" type="#_x0000_t202" style="position:absolute;left:576;top:2950;width:1392;height:218" filled="f" fillcolor="#0c9">
                  <v:textbox style="mso-next-textbox:#_x0000_s1291" inset="1.59461mm,.79731mm,1.59461mm,.79731mm">
                    <w:txbxContent>
                      <w:p w:rsidR="00481206" w:rsidRPr="006D37FF" w:rsidRDefault="00481206" w:rsidP="00481206">
                        <w:pPr>
                          <w:autoSpaceDE w:val="0"/>
                          <w:autoSpaceDN w:val="0"/>
                          <w:adjustRightInd w:val="0"/>
                          <w:jc w:val="center"/>
                          <w:rPr>
                            <w:rFonts w:cs="宋体"/>
                            <w:b/>
                            <w:bCs/>
                            <w:color w:val="000000"/>
                            <w:sz w:val="24"/>
                            <w:szCs w:val="28"/>
                            <w:lang w:val="zh-CN"/>
                          </w:rPr>
                        </w:pPr>
                        <w:r w:rsidRPr="006D37FF">
                          <w:rPr>
                            <w:rFonts w:cs="宋体" w:hint="eastAsia"/>
                            <w:b/>
                            <w:bCs/>
                            <w:color w:val="000000"/>
                            <w:sz w:val="24"/>
                            <w:szCs w:val="28"/>
                            <w:lang w:val="zh-CN"/>
                          </w:rPr>
                          <w:t>金融互换</w:t>
                        </w:r>
                      </w:p>
                    </w:txbxContent>
                  </v:textbox>
                </v:shape>
                <v:shape id="_x0000_s1292" type="#_x0000_t202" style="position:absolute;left:576;top:3526;width:1392;height:218" filled="f" fillcolor="#0c9">
                  <v:textbox style="mso-next-textbox:#_x0000_s1292" inset="1.59461mm,.79731mm,1.59461mm,.79731mm">
                    <w:txbxContent>
                      <w:p w:rsidR="00481206" w:rsidRPr="006D37FF" w:rsidRDefault="00481206" w:rsidP="00481206">
                        <w:pPr>
                          <w:autoSpaceDE w:val="0"/>
                          <w:autoSpaceDN w:val="0"/>
                          <w:adjustRightInd w:val="0"/>
                          <w:jc w:val="center"/>
                          <w:rPr>
                            <w:rFonts w:cs="宋体"/>
                            <w:b/>
                            <w:bCs/>
                            <w:color w:val="000000"/>
                            <w:sz w:val="24"/>
                            <w:szCs w:val="28"/>
                            <w:lang w:val="zh-CN"/>
                          </w:rPr>
                        </w:pPr>
                        <w:r w:rsidRPr="006D37FF">
                          <w:rPr>
                            <w:rFonts w:cs="宋体" w:hint="eastAsia"/>
                            <w:b/>
                            <w:bCs/>
                            <w:color w:val="000000"/>
                            <w:sz w:val="24"/>
                            <w:szCs w:val="28"/>
                            <w:lang w:val="zh-CN"/>
                          </w:rPr>
                          <w:t>其他金融衍生工具</w:t>
                        </w:r>
                      </w:p>
                    </w:txbxContent>
                  </v:textbox>
                </v:shape>
                <v:group id="_x0000_s1293" style="position:absolute;left:2823;top:1056;width:915;height:1055" coordorigin="3216,1296" coordsize="915,1055">
                  <v:shape id="_x0000_s1294" type="#_x0000_t202" style="position:absolute;left:3216;top:1296;width:912;height:218" filled="f" fillcolor="#0c9">
                    <v:textbox style="mso-next-textbox:#_x0000_s1294" inset="1.59461mm,.79731mm,1.59461mm,.79731mm">
                      <w:txbxContent>
                        <w:p w:rsidR="00481206" w:rsidRPr="006D37FF" w:rsidRDefault="00481206" w:rsidP="00481206">
                          <w:pPr>
                            <w:autoSpaceDE w:val="0"/>
                            <w:autoSpaceDN w:val="0"/>
                            <w:adjustRightInd w:val="0"/>
                            <w:rPr>
                              <w:rFonts w:cs="宋体"/>
                              <w:b/>
                              <w:bCs/>
                              <w:color w:val="000000"/>
                              <w:sz w:val="24"/>
                              <w:szCs w:val="28"/>
                              <w:lang w:val="zh-CN"/>
                            </w:rPr>
                          </w:pPr>
                          <w:r w:rsidRPr="006D37FF">
                            <w:rPr>
                              <w:rFonts w:cs="宋体" w:hint="eastAsia"/>
                              <w:b/>
                              <w:bCs/>
                              <w:color w:val="000000"/>
                              <w:sz w:val="24"/>
                              <w:szCs w:val="28"/>
                              <w:lang w:val="zh-CN"/>
                            </w:rPr>
                            <w:t>货币期货</w:t>
                          </w:r>
                        </w:p>
                      </w:txbxContent>
                    </v:textbox>
                  </v:shape>
                  <v:shape id="_x0000_s1295" type="#_x0000_t202" style="position:absolute;left:3216;top:1575;width:912;height:218" filled="f" fillcolor="#0c9">
                    <v:textbox style="mso-next-textbox:#_x0000_s1295" inset="1.59461mm,.79731mm,1.59461mm,.79731mm">
                      <w:txbxContent>
                        <w:p w:rsidR="00481206" w:rsidRPr="006D37FF" w:rsidRDefault="00481206" w:rsidP="00481206">
                          <w:pPr>
                            <w:autoSpaceDE w:val="0"/>
                            <w:autoSpaceDN w:val="0"/>
                            <w:adjustRightInd w:val="0"/>
                            <w:rPr>
                              <w:rFonts w:cs="宋体"/>
                              <w:b/>
                              <w:bCs/>
                              <w:color w:val="000000"/>
                              <w:sz w:val="24"/>
                              <w:szCs w:val="28"/>
                              <w:lang w:val="zh-CN"/>
                            </w:rPr>
                          </w:pPr>
                          <w:r w:rsidRPr="006D37FF">
                            <w:rPr>
                              <w:rFonts w:cs="宋体" w:hint="eastAsia"/>
                              <w:b/>
                              <w:bCs/>
                              <w:color w:val="000000"/>
                              <w:sz w:val="24"/>
                              <w:szCs w:val="28"/>
                              <w:lang w:val="zh-CN"/>
                            </w:rPr>
                            <w:t>利率期货</w:t>
                          </w:r>
                        </w:p>
                      </w:txbxContent>
                    </v:textbox>
                  </v:shape>
                  <v:shape id="_x0000_s1296" type="#_x0000_t202" style="position:absolute;left:3222;top:1848;width:906;height:218" filled="f" fillcolor="#0c9">
                    <v:textbox style="mso-next-textbox:#_x0000_s1296" inset="1.59461mm,.79731mm,1.59461mm,.79731mm">
                      <w:txbxContent>
                        <w:p w:rsidR="00481206" w:rsidRPr="006D37FF" w:rsidRDefault="00481206" w:rsidP="00481206">
                          <w:pPr>
                            <w:autoSpaceDE w:val="0"/>
                            <w:autoSpaceDN w:val="0"/>
                            <w:adjustRightInd w:val="0"/>
                            <w:rPr>
                              <w:rFonts w:cs="宋体"/>
                              <w:b/>
                              <w:bCs/>
                              <w:color w:val="000000"/>
                              <w:sz w:val="24"/>
                              <w:szCs w:val="28"/>
                              <w:lang w:val="zh-CN"/>
                            </w:rPr>
                          </w:pPr>
                          <w:r w:rsidRPr="006D37FF">
                            <w:rPr>
                              <w:rFonts w:cs="宋体" w:hint="eastAsia"/>
                              <w:b/>
                              <w:bCs/>
                              <w:color w:val="000000"/>
                              <w:sz w:val="24"/>
                              <w:szCs w:val="28"/>
                              <w:lang w:val="zh-CN"/>
                            </w:rPr>
                            <w:t>股票指数期货</w:t>
                          </w:r>
                        </w:p>
                      </w:txbxContent>
                    </v:textbox>
                  </v:shape>
                  <v:shape id="_x0000_s1297" type="#_x0000_t202" style="position:absolute;left:3225;top:2133;width:906;height:218" filled="f" fillcolor="#0c9">
                    <v:textbox style="mso-next-textbox:#_x0000_s1297" inset="1.59461mm,.79731mm,1.59461mm,.79731mm">
                      <w:txbxContent>
                        <w:p w:rsidR="00481206" w:rsidRPr="006D37FF" w:rsidRDefault="00481206" w:rsidP="00481206">
                          <w:pPr>
                            <w:autoSpaceDE w:val="0"/>
                            <w:autoSpaceDN w:val="0"/>
                            <w:adjustRightInd w:val="0"/>
                            <w:rPr>
                              <w:rFonts w:cs="宋体"/>
                              <w:b/>
                              <w:bCs/>
                              <w:color w:val="000000"/>
                              <w:sz w:val="24"/>
                              <w:szCs w:val="28"/>
                              <w:lang w:val="zh-CN"/>
                            </w:rPr>
                          </w:pPr>
                          <w:r w:rsidRPr="006D37FF">
                            <w:rPr>
                              <w:rFonts w:cs="宋体" w:hint="eastAsia"/>
                              <w:b/>
                              <w:bCs/>
                              <w:color w:val="000000"/>
                              <w:sz w:val="24"/>
                              <w:szCs w:val="28"/>
                              <w:lang w:val="zh-CN"/>
                            </w:rPr>
                            <w:t>股票期货</w:t>
                          </w:r>
                        </w:p>
                      </w:txbxContent>
                    </v:textbox>
                  </v:shape>
                </v:group>
                <v:group id="_x0000_s1298" style="position:absolute;left:2832;top:2208;width:912;height:509" coordorigin="2832,2208" coordsize="912,509">
                  <v:shape id="_x0000_s1299" type="#_x0000_t202" style="position:absolute;left:2832;top:2208;width:912;height:218" filled="f" fillcolor="#0c9">
                    <v:textbox style="mso-next-textbox:#_x0000_s1299" inset="1.59461mm,.79731mm,1.59461mm,.79731mm">
                      <w:txbxContent>
                        <w:p w:rsidR="00481206" w:rsidRPr="006D37FF" w:rsidRDefault="00481206" w:rsidP="00481206">
                          <w:pPr>
                            <w:autoSpaceDE w:val="0"/>
                            <w:autoSpaceDN w:val="0"/>
                            <w:adjustRightInd w:val="0"/>
                            <w:rPr>
                              <w:rFonts w:cs="宋体"/>
                              <w:b/>
                              <w:bCs/>
                              <w:color w:val="000000"/>
                              <w:sz w:val="24"/>
                              <w:szCs w:val="28"/>
                              <w:lang w:val="zh-CN"/>
                            </w:rPr>
                          </w:pPr>
                          <w:r w:rsidRPr="006D37FF">
                            <w:rPr>
                              <w:rFonts w:cs="宋体" w:hint="eastAsia"/>
                              <w:b/>
                              <w:bCs/>
                              <w:color w:val="000000"/>
                              <w:sz w:val="24"/>
                              <w:szCs w:val="28"/>
                              <w:lang w:val="zh-CN"/>
                            </w:rPr>
                            <w:t>现货期权</w:t>
                          </w:r>
                        </w:p>
                      </w:txbxContent>
                    </v:textbox>
                  </v:shape>
                  <v:shape id="_x0000_s1300" type="#_x0000_t202" style="position:absolute;left:2832;top:2499;width:912;height:218" filled="f" fillcolor="#0c9">
                    <v:textbox style="mso-next-textbox:#_x0000_s1300" inset="1.59461mm,.79731mm,1.59461mm,.79731mm">
                      <w:txbxContent>
                        <w:p w:rsidR="00481206" w:rsidRPr="006D37FF" w:rsidRDefault="00481206" w:rsidP="00481206">
                          <w:pPr>
                            <w:autoSpaceDE w:val="0"/>
                            <w:autoSpaceDN w:val="0"/>
                            <w:adjustRightInd w:val="0"/>
                            <w:rPr>
                              <w:rFonts w:cs="宋体"/>
                              <w:b/>
                              <w:bCs/>
                              <w:color w:val="000000"/>
                              <w:sz w:val="24"/>
                              <w:szCs w:val="28"/>
                              <w:lang w:val="zh-CN"/>
                            </w:rPr>
                          </w:pPr>
                          <w:r w:rsidRPr="006D37FF">
                            <w:rPr>
                              <w:rFonts w:cs="宋体" w:hint="eastAsia"/>
                              <w:b/>
                              <w:bCs/>
                              <w:color w:val="000000"/>
                              <w:sz w:val="24"/>
                              <w:szCs w:val="28"/>
                              <w:lang w:val="zh-CN"/>
                            </w:rPr>
                            <w:t>期货期权</w:t>
                          </w:r>
                        </w:p>
                      </w:txbxContent>
                    </v:textbox>
                  </v:shape>
                </v:group>
                <v:group id="_x0000_s1301" style="position:absolute;left:2832;top:2808;width:909;height:503" coordorigin="3888,2448" coordsize="909,503">
                  <v:shape id="_x0000_s1302" type="#_x0000_t202" style="position:absolute;left:3888;top:2448;width:906;height:218" filled="f" fillcolor="#0c9">
                    <v:textbox style="mso-next-textbox:#_x0000_s1302" inset="1.59461mm,.79731mm,1.59461mm,.79731mm">
                      <w:txbxContent>
                        <w:p w:rsidR="00481206" w:rsidRPr="006D37FF" w:rsidRDefault="00481206" w:rsidP="00481206">
                          <w:pPr>
                            <w:autoSpaceDE w:val="0"/>
                            <w:autoSpaceDN w:val="0"/>
                            <w:adjustRightInd w:val="0"/>
                            <w:rPr>
                              <w:rFonts w:cs="宋体"/>
                              <w:b/>
                              <w:bCs/>
                              <w:color w:val="000000"/>
                              <w:sz w:val="24"/>
                              <w:szCs w:val="28"/>
                              <w:lang w:val="zh-CN"/>
                            </w:rPr>
                          </w:pPr>
                          <w:r w:rsidRPr="006D37FF">
                            <w:rPr>
                              <w:rFonts w:cs="宋体" w:hint="eastAsia"/>
                              <w:b/>
                              <w:bCs/>
                              <w:color w:val="000000"/>
                              <w:sz w:val="24"/>
                              <w:szCs w:val="28"/>
                              <w:lang w:val="zh-CN"/>
                            </w:rPr>
                            <w:t>货币互换</w:t>
                          </w:r>
                        </w:p>
                      </w:txbxContent>
                    </v:textbox>
                  </v:shape>
                  <v:shape id="_x0000_s1303" type="#_x0000_t202" style="position:absolute;left:3891;top:2733;width:906;height:218" filled="f" fillcolor="#0c9">
                    <v:textbox style="mso-next-textbox:#_x0000_s1303" inset="1.59461mm,.79731mm,1.59461mm,.79731mm">
                      <w:txbxContent>
                        <w:p w:rsidR="00481206" w:rsidRPr="006D37FF" w:rsidRDefault="00481206" w:rsidP="00481206">
                          <w:pPr>
                            <w:autoSpaceDE w:val="0"/>
                            <w:autoSpaceDN w:val="0"/>
                            <w:adjustRightInd w:val="0"/>
                            <w:rPr>
                              <w:rFonts w:cs="宋体"/>
                              <w:b/>
                              <w:bCs/>
                              <w:color w:val="000000"/>
                              <w:sz w:val="24"/>
                              <w:szCs w:val="28"/>
                              <w:lang w:val="zh-CN"/>
                            </w:rPr>
                          </w:pPr>
                          <w:r w:rsidRPr="006D37FF">
                            <w:rPr>
                              <w:rFonts w:cs="宋体" w:hint="eastAsia"/>
                              <w:b/>
                              <w:bCs/>
                              <w:color w:val="000000"/>
                              <w:sz w:val="24"/>
                              <w:szCs w:val="28"/>
                              <w:lang w:val="zh-CN"/>
                            </w:rPr>
                            <w:t>利率互换</w:t>
                          </w:r>
                        </w:p>
                      </w:txbxContent>
                    </v:textbox>
                  </v:shape>
                </v:group>
                <v:shape id="_x0000_s1304" type="#_x0000_t202" style="position:absolute;left:576;top:492;width:1392;height:218" filled="f" fillcolor="#0c9">
                  <v:textbox style="mso-next-textbox:#_x0000_s1304" inset="1.59461mm,.79731mm,1.59461mm,.79731mm">
                    <w:txbxContent>
                      <w:p w:rsidR="00481206" w:rsidRPr="006D37FF" w:rsidRDefault="00481206" w:rsidP="00481206">
                        <w:pPr>
                          <w:autoSpaceDE w:val="0"/>
                          <w:autoSpaceDN w:val="0"/>
                          <w:adjustRightInd w:val="0"/>
                          <w:jc w:val="center"/>
                          <w:rPr>
                            <w:rFonts w:cs="宋体"/>
                            <w:b/>
                            <w:bCs/>
                            <w:color w:val="000000"/>
                            <w:sz w:val="24"/>
                            <w:szCs w:val="28"/>
                            <w:lang w:val="zh-CN"/>
                          </w:rPr>
                        </w:pPr>
                        <w:r w:rsidRPr="006D37FF">
                          <w:rPr>
                            <w:rFonts w:cs="宋体" w:hint="eastAsia"/>
                            <w:b/>
                            <w:bCs/>
                            <w:color w:val="000000"/>
                            <w:sz w:val="24"/>
                            <w:szCs w:val="28"/>
                            <w:lang w:val="zh-CN"/>
                          </w:rPr>
                          <w:t>金融远期合约</w:t>
                        </w:r>
                      </w:p>
                    </w:txbxContent>
                  </v:textbox>
                </v:shape>
                <v:group id="_x0000_s1305" style="position:absolute;left:2820;top:192;width:912;height:770" coordorigin="2448,336" coordsize="912,770">
                  <v:shape id="_x0000_s1306" type="#_x0000_t202" style="position:absolute;left:2448;top:336;width:912;height:218" filled="f" fillcolor="#0c9">
                    <v:textbox style="mso-next-textbox:#_x0000_s1306" inset="1.59461mm,.79731mm,1.59461mm,.79731mm">
                      <w:txbxContent>
                        <w:p w:rsidR="00481206" w:rsidRPr="006D37FF" w:rsidRDefault="00481206" w:rsidP="00481206">
                          <w:pPr>
                            <w:autoSpaceDE w:val="0"/>
                            <w:autoSpaceDN w:val="0"/>
                            <w:adjustRightInd w:val="0"/>
                            <w:rPr>
                              <w:rFonts w:cs="宋体"/>
                              <w:b/>
                              <w:bCs/>
                              <w:color w:val="000000"/>
                              <w:sz w:val="24"/>
                              <w:szCs w:val="28"/>
                              <w:lang w:val="zh-CN"/>
                            </w:rPr>
                          </w:pPr>
                          <w:r w:rsidRPr="006D37FF">
                            <w:rPr>
                              <w:rFonts w:cs="宋体" w:hint="eastAsia"/>
                              <w:b/>
                              <w:bCs/>
                              <w:color w:val="000000"/>
                              <w:sz w:val="24"/>
                              <w:szCs w:val="28"/>
                              <w:lang w:val="zh-CN"/>
                            </w:rPr>
                            <w:t>远期利率协议</w:t>
                          </w:r>
                        </w:p>
                      </w:txbxContent>
                    </v:textbox>
                  </v:shape>
                  <v:shape id="_x0000_s1307" type="#_x0000_t202" style="position:absolute;left:2448;top:615;width:912;height:218" filled="f" fillcolor="#0c9">
                    <v:textbox style="mso-next-textbox:#_x0000_s1307" inset="1.59461mm,.79731mm,1.59461mm,.79731mm">
                      <w:txbxContent>
                        <w:p w:rsidR="00481206" w:rsidRPr="006D37FF" w:rsidRDefault="00481206" w:rsidP="00481206">
                          <w:pPr>
                            <w:autoSpaceDE w:val="0"/>
                            <w:autoSpaceDN w:val="0"/>
                            <w:adjustRightInd w:val="0"/>
                            <w:rPr>
                              <w:rFonts w:cs="宋体"/>
                              <w:b/>
                              <w:bCs/>
                              <w:color w:val="000000"/>
                              <w:sz w:val="24"/>
                              <w:szCs w:val="28"/>
                              <w:lang w:val="zh-CN"/>
                            </w:rPr>
                          </w:pPr>
                          <w:r w:rsidRPr="006D37FF">
                            <w:rPr>
                              <w:rFonts w:cs="宋体" w:hint="eastAsia"/>
                              <w:b/>
                              <w:bCs/>
                              <w:color w:val="000000"/>
                              <w:sz w:val="24"/>
                              <w:szCs w:val="28"/>
                              <w:lang w:val="zh-CN"/>
                            </w:rPr>
                            <w:t>远期股票合约</w:t>
                          </w:r>
                        </w:p>
                      </w:txbxContent>
                    </v:textbox>
                  </v:shape>
                  <v:shape id="_x0000_s1308" type="#_x0000_t202" style="position:absolute;left:2454;top:888;width:906;height:218" filled="f" fillcolor="#0c9">
                    <v:textbox style="mso-next-textbox:#_x0000_s1308" inset="1.59461mm,.79731mm,1.59461mm,.79731mm">
                      <w:txbxContent>
                        <w:p w:rsidR="00481206" w:rsidRPr="006D37FF" w:rsidRDefault="00481206" w:rsidP="00481206">
                          <w:pPr>
                            <w:autoSpaceDE w:val="0"/>
                            <w:autoSpaceDN w:val="0"/>
                            <w:adjustRightInd w:val="0"/>
                            <w:rPr>
                              <w:rFonts w:cs="宋体"/>
                              <w:b/>
                              <w:bCs/>
                              <w:color w:val="000000"/>
                              <w:sz w:val="24"/>
                              <w:szCs w:val="28"/>
                              <w:lang w:val="zh-CN"/>
                            </w:rPr>
                          </w:pPr>
                          <w:r w:rsidRPr="006D37FF">
                            <w:rPr>
                              <w:rFonts w:cs="宋体" w:hint="eastAsia"/>
                              <w:b/>
                              <w:bCs/>
                              <w:color w:val="000000"/>
                              <w:sz w:val="24"/>
                              <w:szCs w:val="28"/>
                              <w:lang w:val="zh-CN"/>
                            </w:rPr>
                            <w:t>远期外汇合约</w:t>
                          </w:r>
                        </w:p>
                      </w:txbxContent>
                    </v:textbox>
                  </v:shape>
                </v:group>
                <v:group id="_x0000_s1309" style="position:absolute;left:1968;top:267;width:864;height:636" coordorigin="1968,267" coordsize="864,636">
                  <v:line id="_x0000_s1310" style="position:absolute" from="2307,267" to="2307,902"/>
                  <v:line id="_x0000_s1311" style="position:absolute" from="2325,279" to="2805,279"/>
                  <v:line id="_x0000_s1312" style="position:absolute" from="2304,576" to="2832,576"/>
                  <v:line id="_x0000_s1313" style="position:absolute" from="2304,903" to="2832,903"/>
                  <v:line id="_x0000_s1314" style="position:absolute" from="1968,576" to="2304,576"/>
                </v:group>
                <v:line id="_x0000_s1315" style="position:absolute" from="2307,1104" to="2307,1999"/>
                <v:line id="_x0000_s1316" style="position:absolute" from="2325,1116" to="2805,1116"/>
                <v:line id="_x0000_s1317" style="position:absolute" from="2304,1413" to="2832,1413"/>
                <v:line id="_x0000_s1318" style="position:absolute" from="2304,1740" to="2832,1740"/>
                <v:line id="_x0000_s1319" style="position:absolute" from="1968,1593" to="2304,1593"/>
                <v:line id="_x0000_s1320" style="position:absolute" from="2316,2016" to="2844,2016"/>
                <v:line id="_x0000_s1321" style="position:absolute" from="1968,2400" to="2304,2400"/>
                <v:line id="_x0000_s1322" style="position:absolute" from="2304,2256" to="2304,2592"/>
                <v:line id="_x0000_s1323" style="position:absolute" from="2304,2256" to="2832,2256"/>
                <v:line id="_x0000_s1324" style="position:absolute" from="2304,2592" to="2832,2592"/>
                <v:line id="_x0000_s1325" style="position:absolute" from="1968,3072" to="2304,3072"/>
                <v:line id="_x0000_s1326" style="position:absolute" from="2304,2931" to="2304,3271"/>
                <v:line id="_x0000_s1327" style="position:absolute" from="2304,2928" to="2832,2928"/>
                <v:line id="_x0000_s1328" style="position:absolute" from="2304,3264" to="2832,3264"/>
              </v:group>
              <v:line id="_x0000_s1329" style="position:absolute" from="672,624" to="672,3648"/>
              <v:line id="_x0000_s1330" style="position:absolute" from="672,624" to="1200,624"/>
              <v:line id="_x0000_s1331" style="position:absolute" from="675,1584" to="1203,1584"/>
              <v:line id="_x0000_s1332" style="position:absolute" from="672,2400" to="1200,2400"/>
              <v:line id="_x0000_s1333" style="position:absolute" from="672,3072" to="1200,3072"/>
              <v:line id="_x0000_s1334" style="position:absolute" from="672,3648" to="1200,3648"/>
            </v:group>
            <v:group id="_x0000_s1335" style="position:absolute;left:2362;top:11762;width:1610;height:3104" coordorigin="272,960" coordsize="880,1824">
              <v:shape id="_x0000_s1336" type="#_x0000_t202" style="position:absolute;left:272;top:960;width:352;height:1824" filled="f" fillcolor="#0c9">
                <v:textbox style="layout-flow:vertical-ideographic;mso-next-textbox:#_x0000_s1336" inset="1.59461mm,.79731mm,1.59461mm,.79731mm">
                  <w:txbxContent>
                    <w:p w:rsidR="00481206" w:rsidRPr="006D37FF" w:rsidRDefault="00481206" w:rsidP="00481206">
                      <w:pPr>
                        <w:autoSpaceDE w:val="0"/>
                        <w:autoSpaceDN w:val="0"/>
                        <w:adjustRightInd w:val="0"/>
                        <w:jc w:val="center"/>
                        <w:rPr>
                          <w:rFonts w:cs="宋体"/>
                          <w:b/>
                          <w:bCs/>
                          <w:color w:val="000000"/>
                          <w:sz w:val="28"/>
                          <w:szCs w:val="32"/>
                          <w:lang w:val="zh-CN"/>
                        </w:rPr>
                      </w:pPr>
                      <w:r w:rsidRPr="006D37FF">
                        <w:rPr>
                          <w:rFonts w:cs="宋体" w:hint="eastAsia"/>
                          <w:b/>
                          <w:bCs/>
                          <w:color w:val="000000"/>
                          <w:sz w:val="28"/>
                          <w:szCs w:val="32"/>
                          <w:lang w:val="zh-CN"/>
                        </w:rPr>
                        <w:t>金融衍生工具</w:t>
                      </w:r>
                    </w:p>
                  </w:txbxContent>
                </v:textbox>
              </v:shape>
              <v:line id="_x0000_s1337" style="position:absolute" from="624,1872" to="1152,1872"/>
            </v:group>
            <v:group id="_x0000_s1338" style="position:absolute;left:7497;top:15452;width:3211;height:969" coordorigin="7080,7680" coordsize="3180,1032">
              <v:group id="_x0000_s1339" style="position:absolute;left:8640;top:7680;width:1620;height:1032" coordorigin="8640,7836" coordsize="1620,1032">
                <v:shape id="_x0000_s1340" type="#_x0000_t202" style="position:absolute;left:8640;top:7836;width:1620;height:468">
                  <v:textbox style="mso-next-textbox:#_x0000_s1340" inset="2.18439mm,1.0922mm,2.18439mm,1.0922mm">
                    <w:txbxContent>
                      <w:p w:rsidR="00481206" w:rsidRPr="006D37FF" w:rsidRDefault="00481206" w:rsidP="00481206">
                        <w:pPr>
                          <w:autoSpaceDE w:val="0"/>
                          <w:autoSpaceDN w:val="0"/>
                          <w:adjustRightInd w:val="0"/>
                          <w:rPr>
                            <w:rFonts w:cs="宋体"/>
                            <w:b/>
                            <w:bCs/>
                            <w:color w:val="000000"/>
                            <w:sz w:val="24"/>
                            <w:szCs w:val="28"/>
                            <w:lang w:val="zh-CN"/>
                          </w:rPr>
                        </w:pPr>
                        <w:r w:rsidRPr="006D37FF">
                          <w:rPr>
                            <w:rFonts w:cs="宋体" w:hint="eastAsia"/>
                            <w:b/>
                            <w:bCs/>
                            <w:color w:val="000000"/>
                            <w:sz w:val="24"/>
                            <w:szCs w:val="28"/>
                            <w:lang w:val="zh-CN"/>
                          </w:rPr>
                          <w:t>可转换债券</w:t>
                        </w:r>
                      </w:p>
                    </w:txbxContent>
                  </v:textbox>
                </v:shape>
                <v:shape id="_x0000_s1341" type="#_x0000_t202" style="position:absolute;left:8640;top:8400;width:1620;height:468">
                  <v:textbox style="mso-next-textbox:#_x0000_s1341" inset="2.18439mm,1.0922mm,2.18439mm,1.0922mm">
                    <w:txbxContent>
                      <w:p w:rsidR="00481206" w:rsidRPr="006D37FF" w:rsidRDefault="00481206" w:rsidP="00481206">
                        <w:pPr>
                          <w:autoSpaceDE w:val="0"/>
                          <w:autoSpaceDN w:val="0"/>
                          <w:adjustRightInd w:val="0"/>
                          <w:rPr>
                            <w:rFonts w:cs="宋体"/>
                            <w:b/>
                            <w:bCs/>
                            <w:color w:val="000000"/>
                            <w:sz w:val="24"/>
                            <w:szCs w:val="28"/>
                          </w:rPr>
                        </w:pPr>
                        <w:r w:rsidRPr="006D37FF">
                          <w:rPr>
                            <w:rFonts w:cs="宋体" w:hint="eastAsia"/>
                            <w:b/>
                            <w:bCs/>
                            <w:color w:val="000000"/>
                            <w:sz w:val="24"/>
                            <w:szCs w:val="28"/>
                            <w:lang w:val="zh-CN"/>
                          </w:rPr>
                          <w:t>存托凭证</w:t>
                        </w:r>
                      </w:p>
                    </w:txbxContent>
                  </v:textbox>
                </v:shape>
              </v:group>
              <v:line id="_x0000_s1342" style="position:absolute" from="7080,8148" to="7620,8148"/>
              <v:line id="_x0000_s1343" style="position:absolute" from="7635,7836" to="7635,8460"/>
              <v:line id="_x0000_s1344" style="position:absolute" from="7635,7839" to="8655,7839"/>
              <v:line id="_x0000_s1345" style="position:absolute" from="7635,8460" to="8655,8460"/>
            </v:group>
            <w10:wrap type="none"/>
            <w10:anchorlock/>
          </v:group>
        </w:pict>
      </w:r>
    </w:p>
    <w:p w:rsidR="00481206" w:rsidRPr="00481206" w:rsidRDefault="00481206" w:rsidP="00481206">
      <w:pPr>
        <w:spacing w:line="360" w:lineRule="auto"/>
        <w:ind w:firstLine="420"/>
        <w:rPr>
          <w:rFonts w:ascii="宋体" w:hAnsi="宋体"/>
          <w:sz w:val="24"/>
        </w:rPr>
      </w:pPr>
      <w:r w:rsidRPr="00481206">
        <w:rPr>
          <w:rFonts w:ascii="宋体" w:hAnsi="宋体" w:hint="eastAsia"/>
          <w:sz w:val="24"/>
        </w:rPr>
        <w:t>（二）、金融衍生产品的实务</w:t>
      </w:r>
    </w:p>
    <w:p w:rsidR="00481206" w:rsidRPr="00481206" w:rsidRDefault="00481206" w:rsidP="00481206">
      <w:pPr>
        <w:spacing w:line="360" w:lineRule="auto"/>
        <w:ind w:firstLineChars="245" w:firstLine="588"/>
        <w:rPr>
          <w:rFonts w:ascii="宋体" w:hAnsi="宋体"/>
          <w:sz w:val="24"/>
        </w:rPr>
      </w:pPr>
      <w:r w:rsidRPr="00481206">
        <w:rPr>
          <w:rFonts w:ascii="宋体" w:hAnsi="宋体" w:hint="eastAsia"/>
          <w:sz w:val="24"/>
        </w:rPr>
        <w:t>1、金融衍生产品的定价；</w:t>
      </w:r>
    </w:p>
    <w:p w:rsidR="00481206" w:rsidRPr="00481206" w:rsidRDefault="00481206" w:rsidP="00481206">
      <w:pPr>
        <w:spacing w:line="360" w:lineRule="auto"/>
        <w:ind w:firstLineChars="245" w:firstLine="588"/>
        <w:rPr>
          <w:rFonts w:ascii="宋体" w:hAnsi="宋体"/>
          <w:sz w:val="24"/>
        </w:rPr>
      </w:pPr>
      <w:r w:rsidRPr="00481206">
        <w:rPr>
          <w:rFonts w:ascii="宋体" w:hAnsi="宋体" w:hint="eastAsia"/>
          <w:sz w:val="24"/>
        </w:rPr>
        <w:t>2、金融衍生产品的交易规则；</w:t>
      </w:r>
    </w:p>
    <w:p w:rsidR="00481206" w:rsidRPr="00481206" w:rsidRDefault="00481206" w:rsidP="00481206">
      <w:pPr>
        <w:spacing w:line="360" w:lineRule="auto"/>
        <w:ind w:firstLineChars="245" w:firstLine="588"/>
        <w:rPr>
          <w:rFonts w:ascii="宋体" w:hAnsi="宋体"/>
          <w:sz w:val="24"/>
        </w:rPr>
      </w:pPr>
      <w:r w:rsidRPr="00481206">
        <w:rPr>
          <w:rFonts w:ascii="宋体" w:hAnsi="宋体" w:hint="eastAsia"/>
          <w:sz w:val="24"/>
        </w:rPr>
        <w:t>3、利用金融衍生产品进行套期保值；</w:t>
      </w:r>
    </w:p>
    <w:p w:rsidR="00481206" w:rsidRPr="00481206" w:rsidRDefault="00481206" w:rsidP="00481206">
      <w:pPr>
        <w:spacing w:line="360" w:lineRule="auto"/>
        <w:ind w:firstLineChars="245" w:firstLine="588"/>
        <w:rPr>
          <w:rFonts w:ascii="宋体" w:hAnsi="宋体"/>
          <w:sz w:val="24"/>
        </w:rPr>
      </w:pPr>
      <w:r w:rsidRPr="00481206">
        <w:rPr>
          <w:rFonts w:ascii="宋体" w:hAnsi="宋体" w:hint="eastAsia"/>
          <w:sz w:val="24"/>
        </w:rPr>
        <w:t>4、利用金融衍生产品进行套利和投机；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三、《金融衍生产品理论与实务》课程的重点和难点</w:t>
      </w:r>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（一）《金融衍生产品理论与实务》课程的重点（概念和交易规则）</w:t>
      </w:r>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本课程的重点即各类金融期货、金融期权以及其他金融衍生产品的基本概念、产品类型、定价原理、交易规则，以及各类产品的套期保值、套利和投机规则。</w:t>
      </w:r>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（二）《金融衍生产品理论与实务》课程的难点</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在任何微观金融理论课程中，资产的定价永远是课程的难点和核心内容，《金融衍生产品理论与实务》也不例外。因为任何金融市场的子市场所要解决的核心问题是货币资金的配置，而引导货币资金的配置和流动的关键变量就是货币资金的价格，因此如何使各类金融衍生产品的形成合理的价格是《金融衍生产品理论与实务》课程所要学习的难点。</w:t>
      </w:r>
    </w:p>
    <w:p w:rsidR="00481206" w:rsidRPr="00481206" w:rsidRDefault="00481206" w:rsidP="00481206">
      <w:pPr>
        <w:spacing w:line="360" w:lineRule="auto"/>
        <w:rPr>
          <w:rFonts w:ascii="宋体" w:hAnsi="宋体"/>
          <w:bCs/>
          <w:sz w:val="24"/>
        </w:rPr>
      </w:pP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lastRenderedPageBreak/>
        <w:t>四、《金融衍生产品理论与实务》课程的学习方法</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在进行本课程的学习中，建议大家采用的学习方法如下：</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1、历史分析法。由于各种金融衍生产品诞生于不同的时间段，金融衍生产品在发展过程中也有过不同的特征和功能，它们的诞生也有着不同的原因，因此我们在学习过程中要用历史的观点和态度来看待每种金融衍生产品的发展和演变，这样才能从整体上把握金融衍生产品的演变及未来的发展趋势。</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2、比较分析法。每种金融衍生产品具有不同的定价方法，同时每种产品的损益也有不同标准的衡量，因此在学习过程中，要通过对不同资产定价方式的比较来分析和把握每种金融资产之间的不同点，这样才能更好的把握不同金融资产的特征和功能。</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3、学科交叉法。《金融衍生产品理论与实务》以《金融市场学》为基础，是《金融市场学》的后续课程，同时从最近的一次金融危机可以看出，金融衍生产品市场的波动也会给金融体系的稳定性带来威胁，因此我们在学习过程中，必须将该课程与金融学科中的其他相关课程进行交叉和结合，以宏观的角度来把握金融衍生产品市场的演变和发展。</w:t>
      </w:r>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bCs/>
          <w:sz w:val="24"/>
        </w:rPr>
        <w:t xml:space="preserve">    </w:t>
      </w:r>
      <w:bookmarkStart w:id="196" w:name="_Toc430423138"/>
      <w:bookmarkStart w:id="197" w:name="_Toc444349787"/>
      <w:bookmarkStart w:id="198" w:name="_Toc444350138"/>
      <w:bookmarkStart w:id="199" w:name="_Toc474271613"/>
      <w:r w:rsidRPr="00481206">
        <w:rPr>
          <w:rFonts w:ascii="宋体" w:hAnsi="宋体" w:cs="宋体" w:hint="eastAsia"/>
          <w:bCs/>
          <w:sz w:val="24"/>
        </w:rPr>
        <w:t>7.1.5 教学</w:t>
      </w:r>
      <w:r w:rsidRPr="00481206">
        <w:rPr>
          <w:rFonts w:ascii="宋体" w:hAnsi="宋体" w:cs="宋体" w:hint="eastAsia"/>
          <w:sz w:val="24"/>
        </w:rPr>
        <w:t>方法</w:t>
      </w:r>
      <w:bookmarkEnd w:id="196"/>
      <w:bookmarkEnd w:id="197"/>
      <w:bookmarkEnd w:id="198"/>
      <w:bookmarkEnd w:id="199"/>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200" w:name="_Toc430423139"/>
      <w:bookmarkStart w:id="201" w:name="_Toc444349788"/>
      <w:bookmarkStart w:id="202" w:name="_Toc444350139"/>
      <w:bookmarkStart w:id="203" w:name="_Toc474271614"/>
      <w:r w:rsidRPr="00481206">
        <w:rPr>
          <w:rFonts w:ascii="宋体" w:hAnsi="宋体" w:cs="宋体" w:hint="eastAsia"/>
          <w:sz w:val="24"/>
        </w:rPr>
        <w:t>课堂讲授；设问；案例分析。</w:t>
      </w:r>
      <w:bookmarkEnd w:id="200"/>
      <w:bookmarkEnd w:id="201"/>
      <w:bookmarkEnd w:id="202"/>
      <w:bookmarkEnd w:id="203"/>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r w:rsidRPr="00481206">
        <w:rPr>
          <w:rFonts w:ascii="宋体" w:hAnsi="宋体" w:cs="宋体" w:hint="eastAsia"/>
          <w:bCs/>
          <w:sz w:val="24"/>
        </w:rPr>
        <w:t xml:space="preserve"> </w:t>
      </w:r>
      <w:bookmarkStart w:id="204" w:name="_Toc430423140"/>
      <w:bookmarkStart w:id="205" w:name="_Toc444349789"/>
      <w:bookmarkStart w:id="206" w:name="_Toc444350140"/>
      <w:bookmarkStart w:id="207" w:name="_Toc474271615"/>
      <w:r w:rsidRPr="00481206">
        <w:rPr>
          <w:rFonts w:ascii="宋体" w:hAnsi="宋体" w:cs="宋体" w:hint="eastAsia"/>
          <w:bCs/>
          <w:sz w:val="24"/>
        </w:rPr>
        <w:t>7.1.6作业安排及课后反思</w:t>
      </w:r>
      <w:bookmarkEnd w:id="204"/>
      <w:bookmarkEnd w:id="205"/>
      <w:bookmarkEnd w:id="206"/>
      <w:bookmarkEnd w:id="207"/>
      <w:r w:rsidRPr="00481206">
        <w:rPr>
          <w:rFonts w:ascii="宋体" w:hAnsi="宋体" w:cs="宋体" w:hint="eastAsia"/>
          <w:bCs/>
          <w:sz w:val="24"/>
        </w:rPr>
        <w:tab/>
      </w:r>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208" w:name="_Toc430423141"/>
      <w:bookmarkStart w:id="209" w:name="_Toc444349790"/>
      <w:bookmarkStart w:id="210" w:name="_Toc444350141"/>
      <w:bookmarkStart w:id="211" w:name="_Toc474271616"/>
      <w:r w:rsidRPr="00481206">
        <w:rPr>
          <w:rFonts w:ascii="宋体" w:hAnsi="宋体" w:cs="宋体" w:hint="eastAsia"/>
          <w:sz w:val="24"/>
        </w:rPr>
        <w:t>1</w:t>
      </w:r>
      <w:r w:rsidRPr="00481206">
        <w:rPr>
          <w:rFonts w:ascii="宋体" w:hAnsi="宋体" w:cs="宋体"/>
          <w:sz w:val="24"/>
        </w:rPr>
        <w:t>、</w:t>
      </w:r>
      <w:bookmarkEnd w:id="208"/>
      <w:r w:rsidRPr="00481206">
        <w:rPr>
          <w:rFonts w:ascii="宋体" w:hAnsi="宋体" w:cs="宋体" w:hint="eastAsia"/>
          <w:sz w:val="24"/>
        </w:rPr>
        <w:t>熟悉掌握一种证券交易软件。</w:t>
      </w:r>
      <w:bookmarkEnd w:id="209"/>
      <w:bookmarkEnd w:id="210"/>
      <w:bookmarkEnd w:id="211"/>
    </w:p>
    <w:p w:rsidR="00481206" w:rsidRPr="00481206" w:rsidRDefault="00481206" w:rsidP="00481206">
      <w:pPr>
        <w:spacing w:line="360" w:lineRule="auto"/>
        <w:outlineLvl w:val="1"/>
        <w:rPr>
          <w:rFonts w:ascii="宋体" w:hAnsi="宋体" w:cs="宋体"/>
          <w:sz w:val="24"/>
        </w:rPr>
      </w:pPr>
      <w:r w:rsidRPr="00481206">
        <w:rPr>
          <w:rFonts w:ascii="宋体" w:hAnsi="宋体" w:cs="宋体"/>
          <w:sz w:val="24"/>
        </w:rPr>
        <w:t xml:space="preserve">    </w:t>
      </w:r>
      <w:bookmarkStart w:id="212" w:name="_Toc430423142"/>
      <w:bookmarkStart w:id="213" w:name="_Toc444349791"/>
      <w:bookmarkStart w:id="214" w:name="_Toc444350142"/>
      <w:bookmarkStart w:id="215" w:name="_Toc474271617"/>
      <w:r w:rsidRPr="00481206">
        <w:rPr>
          <w:rFonts w:ascii="宋体" w:hAnsi="宋体" w:cs="宋体"/>
          <w:sz w:val="24"/>
        </w:rPr>
        <w:t>2</w:t>
      </w:r>
      <w:r w:rsidRPr="00481206">
        <w:rPr>
          <w:rFonts w:ascii="宋体" w:hAnsi="宋体" w:cs="宋体" w:hint="eastAsia"/>
          <w:sz w:val="24"/>
        </w:rPr>
        <w:t>、</w:t>
      </w:r>
      <w:bookmarkEnd w:id="212"/>
      <w:r w:rsidRPr="00481206">
        <w:rPr>
          <w:rFonts w:ascii="宋体" w:hAnsi="宋体" w:cs="宋体" w:hint="eastAsia"/>
          <w:sz w:val="24"/>
        </w:rPr>
        <w:t>了解K线图的画法。</w:t>
      </w:r>
      <w:bookmarkEnd w:id="213"/>
      <w:bookmarkEnd w:id="214"/>
      <w:bookmarkEnd w:id="215"/>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216" w:name="_Toc430423144"/>
      <w:bookmarkStart w:id="217" w:name="_Toc444349792"/>
      <w:bookmarkStart w:id="218" w:name="_Toc444350143"/>
      <w:bookmarkStart w:id="219" w:name="_Toc474271618"/>
      <w:r w:rsidRPr="00481206">
        <w:rPr>
          <w:rFonts w:ascii="宋体" w:hAnsi="宋体" w:cs="宋体" w:hint="eastAsia"/>
          <w:sz w:val="24"/>
        </w:rPr>
        <w:t>7.1.7课前准备情况及其他相关特殊要求</w:t>
      </w:r>
      <w:bookmarkEnd w:id="216"/>
      <w:bookmarkEnd w:id="217"/>
      <w:bookmarkEnd w:id="218"/>
      <w:bookmarkEnd w:id="219"/>
    </w:p>
    <w:p w:rsidR="00481206" w:rsidRPr="00481206" w:rsidRDefault="00481206" w:rsidP="00481206">
      <w:pPr>
        <w:spacing w:line="360" w:lineRule="auto"/>
        <w:ind w:firstLineChars="200" w:firstLine="480"/>
        <w:outlineLvl w:val="1"/>
        <w:rPr>
          <w:rFonts w:ascii="宋体" w:hAnsi="宋体" w:cs="宋体"/>
          <w:sz w:val="24"/>
        </w:rPr>
      </w:pPr>
      <w:bookmarkStart w:id="220" w:name="_Toc430423145"/>
      <w:bookmarkStart w:id="221" w:name="_Toc444349793"/>
      <w:bookmarkStart w:id="222" w:name="_Toc444350144"/>
      <w:bookmarkStart w:id="223" w:name="_Toc474271619"/>
      <w:r w:rsidRPr="00481206">
        <w:rPr>
          <w:rFonts w:ascii="宋体" w:hAnsi="宋体" w:cs="宋体" w:hint="eastAsia"/>
          <w:sz w:val="24"/>
        </w:rPr>
        <w:t>教师：准备教材教辅、课程实施大纲、课件、花名册等上课资料；梳理实施方案，明确执行步骤；熟悉课程教学要点；准备经验素材。</w:t>
      </w:r>
      <w:bookmarkEnd w:id="220"/>
      <w:bookmarkEnd w:id="221"/>
      <w:bookmarkEnd w:id="222"/>
      <w:bookmarkEnd w:id="223"/>
    </w:p>
    <w:p w:rsidR="00481206" w:rsidRPr="00481206" w:rsidRDefault="00481206" w:rsidP="00481206">
      <w:pPr>
        <w:spacing w:line="360" w:lineRule="auto"/>
        <w:ind w:firstLineChars="200" w:firstLine="480"/>
        <w:outlineLvl w:val="1"/>
        <w:rPr>
          <w:rFonts w:ascii="宋体" w:hAnsi="宋体" w:cs="宋体"/>
          <w:sz w:val="24"/>
        </w:rPr>
      </w:pPr>
      <w:bookmarkStart w:id="224" w:name="_Toc430423146"/>
      <w:bookmarkStart w:id="225" w:name="_Toc444349794"/>
      <w:bookmarkStart w:id="226" w:name="_Toc444350145"/>
      <w:bookmarkStart w:id="227" w:name="_Toc474271620"/>
      <w:r w:rsidRPr="00481206">
        <w:rPr>
          <w:rFonts w:ascii="宋体" w:hAnsi="宋体" w:cs="宋体" w:hint="eastAsia"/>
          <w:bCs/>
          <w:sz w:val="24"/>
        </w:rPr>
        <w:t>学生：</w:t>
      </w:r>
      <w:r w:rsidRPr="00481206">
        <w:rPr>
          <w:rFonts w:ascii="宋体" w:hAnsi="宋体" w:cs="宋体" w:hint="eastAsia"/>
          <w:sz w:val="24"/>
        </w:rPr>
        <w:t>阅读金融学和投资学有关的材料。</w:t>
      </w:r>
      <w:bookmarkEnd w:id="224"/>
      <w:bookmarkEnd w:id="225"/>
      <w:bookmarkEnd w:id="226"/>
      <w:bookmarkEnd w:id="227"/>
      <w:r w:rsidRPr="00481206">
        <w:rPr>
          <w:rFonts w:ascii="宋体" w:hAnsi="宋体" w:cs="宋体" w:hint="eastAsia"/>
          <w:sz w:val="24"/>
        </w:rPr>
        <w:tab/>
      </w:r>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228" w:name="_Toc430423147"/>
      <w:bookmarkStart w:id="229" w:name="_Toc444350146"/>
      <w:bookmarkStart w:id="230" w:name="_Toc474271621"/>
      <w:r w:rsidRPr="00481206">
        <w:rPr>
          <w:rFonts w:ascii="宋体" w:hAnsi="宋体" w:cs="宋体" w:hint="eastAsia"/>
          <w:sz w:val="24"/>
        </w:rPr>
        <w:t>7.1.8参考</w:t>
      </w:r>
      <w:r w:rsidRPr="00481206">
        <w:rPr>
          <w:rFonts w:ascii="宋体" w:hAnsi="宋体" w:cs="宋体" w:hint="eastAsia"/>
          <w:bCs/>
          <w:sz w:val="24"/>
        </w:rPr>
        <w:t>资料</w:t>
      </w:r>
      <w:bookmarkEnd w:id="228"/>
      <w:bookmarkEnd w:id="229"/>
      <w:bookmarkEnd w:id="230"/>
    </w:p>
    <w:p w:rsidR="00481206" w:rsidRPr="00481206" w:rsidRDefault="00481206" w:rsidP="00481206">
      <w:pPr>
        <w:spacing w:line="360" w:lineRule="auto"/>
        <w:ind w:firstLineChars="200" w:firstLine="480"/>
        <w:outlineLvl w:val="1"/>
        <w:rPr>
          <w:rFonts w:ascii="宋体" w:hAnsi="宋体" w:cs="宋体"/>
          <w:sz w:val="24"/>
        </w:rPr>
      </w:pPr>
      <w:bookmarkStart w:id="231" w:name="_Toc430423148"/>
      <w:bookmarkStart w:id="232" w:name="_Toc444350147"/>
      <w:bookmarkStart w:id="233" w:name="_Toc474271622"/>
      <w:r w:rsidRPr="00481206">
        <w:rPr>
          <w:rFonts w:ascii="宋体" w:hAnsi="宋体" w:hint="eastAsia"/>
          <w:sz w:val="24"/>
        </w:rPr>
        <w:t>高鸿业.西方及经济学学习与教学手册（第二版）[M],北京：中国人民大学出版社，  2007.</w:t>
      </w:r>
      <w:bookmarkEnd w:id="231"/>
      <w:bookmarkEnd w:id="232"/>
      <w:bookmarkEnd w:id="233"/>
    </w:p>
    <w:p w:rsidR="00481206" w:rsidRPr="00481206" w:rsidRDefault="00481206" w:rsidP="00481206">
      <w:pPr>
        <w:spacing w:line="360" w:lineRule="auto"/>
        <w:ind w:firstLineChars="200" w:firstLine="480"/>
        <w:outlineLvl w:val="1"/>
        <w:rPr>
          <w:rFonts w:ascii="宋体" w:hAnsi="宋体" w:cs="宋体"/>
          <w:bCs/>
          <w:sz w:val="24"/>
        </w:rPr>
      </w:pPr>
      <w:bookmarkStart w:id="234" w:name="_Toc430423151"/>
      <w:bookmarkStart w:id="235" w:name="_Toc444350148"/>
      <w:bookmarkStart w:id="236" w:name="_Toc474271623"/>
      <w:r w:rsidRPr="00481206">
        <w:rPr>
          <w:rFonts w:ascii="宋体" w:hAnsi="宋体" w:cs="宋体" w:hint="eastAsia"/>
          <w:bCs/>
          <w:sz w:val="24"/>
        </w:rPr>
        <w:t>任映国.国际投资学</w:t>
      </w:r>
      <w:r w:rsidRPr="00481206">
        <w:rPr>
          <w:rFonts w:ascii="宋体" w:hAnsi="宋体" w:cs="宋体" w:hint="eastAsia"/>
          <w:sz w:val="24"/>
        </w:rPr>
        <w:t>[M]</w:t>
      </w:r>
      <w:r w:rsidRPr="00481206">
        <w:rPr>
          <w:rFonts w:ascii="宋体" w:hAnsi="宋体" w:cs="宋体" w:hint="eastAsia"/>
          <w:bCs/>
          <w:sz w:val="24"/>
        </w:rPr>
        <w:t>，北京：中国金融出版社出版社，2001.</w:t>
      </w:r>
      <w:bookmarkEnd w:id="234"/>
      <w:bookmarkEnd w:id="235"/>
      <w:bookmarkEnd w:id="236"/>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陈信华.金融衍生工具[M],上海：上海财经大学出版社，2009.</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叶永刚.衍生金融工具[M],中国金融出版社,2004.</w:t>
      </w:r>
    </w:p>
    <w:p w:rsidR="00481206" w:rsidRPr="00481206" w:rsidRDefault="00481206" w:rsidP="00481206">
      <w:pPr>
        <w:spacing w:line="360" w:lineRule="auto"/>
        <w:ind w:firstLineChars="196" w:firstLine="470"/>
        <w:rPr>
          <w:rFonts w:ascii="宋体" w:hAnsi="宋体"/>
          <w:sz w:val="24"/>
        </w:rPr>
      </w:pPr>
      <w:r w:rsidRPr="00481206">
        <w:rPr>
          <w:rFonts w:ascii="宋体" w:hAnsi="宋体" w:hint="eastAsia"/>
          <w:sz w:val="24"/>
        </w:rPr>
        <w:t>赫尔著.期权、期货和其他衍生品[M],华夏出版社,2011.</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sz w:val="24"/>
        </w:rPr>
        <w:lastRenderedPageBreak/>
        <w:t>Hull,John C. Option,Futures and Other Derivative Securities(Fourth Edition) [M],2000.</w:t>
      </w:r>
    </w:p>
    <w:p w:rsidR="00481206" w:rsidRPr="00481206" w:rsidRDefault="00481206" w:rsidP="00481206">
      <w:pPr>
        <w:pStyle w:val="3"/>
        <w:spacing w:before="0" w:after="0" w:line="360" w:lineRule="auto"/>
        <w:rPr>
          <w:rFonts w:ascii="宋体" w:hAnsi="宋体" w:cs="宋体"/>
          <w:bCs w:val="0"/>
          <w:sz w:val="28"/>
        </w:rPr>
      </w:pPr>
      <w:bookmarkStart w:id="237" w:name="_Toc474271624"/>
      <w:r w:rsidRPr="00481206">
        <w:rPr>
          <w:rFonts w:ascii="宋体" w:hAnsi="宋体" w:cs="宋体" w:hint="eastAsia"/>
          <w:bCs w:val="0"/>
          <w:sz w:val="28"/>
        </w:rPr>
        <w:t>7.2第二单元（共3讲）</w:t>
      </w:r>
      <w:bookmarkEnd w:id="237"/>
    </w:p>
    <w:p w:rsidR="00481206" w:rsidRPr="00481206" w:rsidRDefault="00481206" w:rsidP="00481206">
      <w:pPr>
        <w:spacing w:line="360" w:lineRule="auto"/>
        <w:ind w:firstLineChars="200" w:firstLine="480"/>
        <w:outlineLvl w:val="1"/>
        <w:rPr>
          <w:rFonts w:ascii="宋体" w:hAnsi="宋体" w:cs="宋体"/>
          <w:bCs/>
          <w:sz w:val="24"/>
        </w:rPr>
      </w:pPr>
      <w:bookmarkStart w:id="238" w:name="_Toc430423154"/>
      <w:bookmarkStart w:id="239" w:name="_Toc444350150"/>
      <w:bookmarkStart w:id="240" w:name="_Toc474271625"/>
      <w:r w:rsidRPr="00481206">
        <w:rPr>
          <w:rFonts w:ascii="宋体" w:hAnsi="宋体" w:cs="宋体" w:hint="eastAsia"/>
          <w:bCs/>
          <w:sz w:val="24"/>
        </w:rPr>
        <w:t>7.2.1授课日期</w:t>
      </w:r>
      <w:bookmarkEnd w:id="238"/>
      <w:bookmarkEnd w:id="239"/>
      <w:bookmarkEnd w:id="240"/>
    </w:p>
    <w:p w:rsidR="00481206" w:rsidRPr="00481206" w:rsidRDefault="00010356" w:rsidP="00481206">
      <w:pPr>
        <w:spacing w:line="360" w:lineRule="auto"/>
        <w:ind w:firstLineChars="200" w:firstLine="480"/>
        <w:outlineLvl w:val="1"/>
        <w:rPr>
          <w:rFonts w:ascii="宋体" w:hAnsi="宋体" w:cs="宋体"/>
          <w:sz w:val="24"/>
        </w:rPr>
      </w:pPr>
      <w:bookmarkStart w:id="241" w:name="_Toc430423155"/>
      <w:bookmarkStart w:id="242" w:name="_Toc444350151"/>
      <w:bookmarkStart w:id="243" w:name="_Toc474271626"/>
      <w:r>
        <w:rPr>
          <w:rFonts w:ascii="宋体" w:hAnsi="宋体" w:cs="宋体" w:hint="eastAsia"/>
          <w:sz w:val="24"/>
        </w:rPr>
        <w:t>2017</w:t>
      </w:r>
      <w:r w:rsidR="00481206" w:rsidRPr="00481206">
        <w:rPr>
          <w:rFonts w:ascii="宋体" w:hAnsi="宋体" w:cs="宋体" w:hint="eastAsia"/>
          <w:sz w:val="24"/>
        </w:rPr>
        <w:t>年</w:t>
      </w:r>
      <w:r>
        <w:rPr>
          <w:rFonts w:ascii="宋体" w:hAnsi="宋体" w:cs="宋体" w:hint="eastAsia"/>
          <w:sz w:val="24"/>
        </w:rPr>
        <w:t>4</w:t>
      </w:r>
      <w:r w:rsidR="00481206" w:rsidRPr="00481206">
        <w:rPr>
          <w:rFonts w:ascii="宋体" w:hAnsi="宋体" w:cs="宋体" w:hint="eastAsia"/>
          <w:sz w:val="24"/>
        </w:rPr>
        <w:t>月2</w:t>
      </w:r>
      <w:r>
        <w:rPr>
          <w:rFonts w:ascii="宋体" w:hAnsi="宋体" w:cs="宋体" w:hint="eastAsia"/>
          <w:sz w:val="24"/>
        </w:rPr>
        <w:t>7日（周四上午3</w:t>
      </w:r>
      <w:r w:rsidR="00481206" w:rsidRPr="00481206">
        <w:rPr>
          <w:rFonts w:ascii="宋体" w:hAnsi="宋体" w:cs="宋体" w:hint="eastAsia"/>
          <w:sz w:val="24"/>
        </w:rPr>
        <w:t>、</w:t>
      </w:r>
      <w:r>
        <w:rPr>
          <w:rFonts w:ascii="宋体" w:hAnsi="宋体" w:cs="宋体" w:hint="eastAsia"/>
          <w:sz w:val="24"/>
        </w:rPr>
        <w:t>4</w:t>
      </w:r>
      <w:r w:rsidR="00481206" w:rsidRPr="00481206">
        <w:rPr>
          <w:rFonts w:ascii="宋体" w:hAnsi="宋体" w:cs="宋体" w:hint="eastAsia"/>
          <w:sz w:val="24"/>
        </w:rPr>
        <w:t>节，第2讲）</w:t>
      </w:r>
      <w:bookmarkEnd w:id="241"/>
      <w:r w:rsidR="00481206" w:rsidRPr="00481206">
        <w:rPr>
          <w:rFonts w:ascii="宋体" w:hAnsi="宋体" w:cs="宋体" w:hint="eastAsia"/>
          <w:sz w:val="24"/>
        </w:rPr>
        <w:t>；</w:t>
      </w:r>
      <w:bookmarkEnd w:id="242"/>
      <w:bookmarkEnd w:id="243"/>
    </w:p>
    <w:p w:rsidR="00481206" w:rsidRPr="00481206" w:rsidRDefault="00010356" w:rsidP="00481206">
      <w:pPr>
        <w:spacing w:line="360" w:lineRule="auto"/>
        <w:ind w:firstLineChars="200" w:firstLine="480"/>
        <w:outlineLvl w:val="1"/>
        <w:rPr>
          <w:rFonts w:ascii="宋体" w:hAnsi="宋体" w:cs="宋体"/>
          <w:sz w:val="24"/>
        </w:rPr>
      </w:pPr>
      <w:bookmarkStart w:id="244" w:name="_Toc444350152"/>
      <w:bookmarkStart w:id="245" w:name="_Toc474271627"/>
      <w:r>
        <w:rPr>
          <w:rFonts w:ascii="宋体" w:hAnsi="宋体" w:cs="宋体" w:hint="eastAsia"/>
          <w:sz w:val="24"/>
        </w:rPr>
        <w:t>2017</w:t>
      </w:r>
      <w:r w:rsidR="00481206" w:rsidRPr="00481206">
        <w:rPr>
          <w:rFonts w:ascii="宋体" w:hAnsi="宋体" w:cs="宋体" w:hint="eastAsia"/>
          <w:sz w:val="24"/>
        </w:rPr>
        <w:t>年</w:t>
      </w:r>
      <w:r>
        <w:rPr>
          <w:rFonts w:ascii="宋体" w:hAnsi="宋体" w:cs="宋体" w:hint="eastAsia"/>
          <w:sz w:val="24"/>
        </w:rPr>
        <w:t>5</w:t>
      </w:r>
      <w:r w:rsidR="00481206" w:rsidRPr="00481206">
        <w:rPr>
          <w:rFonts w:ascii="宋体" w:hAnsi="宋体" w:cs="宋体" w:hint="eastAsia"/>
          <w:sz w:val="24"/>
        </w:rPr>
        <w:t>月</w:t>
      </w:r>
      <w:r>
        <w:rPr>
          <w:rFonts w:ascii="宋体" w:hAnsi="宋体" w:cs="宋体" w:hint="eastAsia"/>
          <w:sz w:val="24"/>
        </w:rPr>
        <w:t>2日（周二</w:t>
      </w:r>
      <w:r w:rsidR="00481206" w:rsidRPr="00481206">
        <w:rPr>
          <w:rFonts w:ascii="宋体" w:hAnsi="宋体" w:cs="宋体" w:hint="eastAsia"/>
          <w:sz w:val="24"/>
        </w:rPr>
        <w:t>上午</w:t>
      </w:r>
      <w:r>
        <w:rPr>
          <w:rFonts w:ascii="宋体" w:hAnsi="宋体" w:cs="宋体" w:hint="eastAsia"/>
          <w:sz w:val="24"/>
        </w:rPr>
        <w:t>3</w:t>
      </w:r>
      <w:r w:rsidR="00481206" w:rsidRPr="00481206">
        <w:rPr>
          <w:rFonts w:ascii="宋体" w:hAnsi="宋体" w:cs="宋体" w:hint="eastAsia"/>
          <w:sz w:val="24"/>
        </w:rPr>
        <w:t>、</w:t>
      </w:r>
      <w:r>
        <w:rPr>
          <w:rFonts w:ascii="宋体" w:hAnsi="宋体" w:cs="宋体" w:hint="eastAsia"/>
          <w:sz w:val="24"/>
        </w:rPr>
        <w:t>4</w:t>
      </w:r>
      <w:r w:rsidR="00481206" w:rsidRPr="00481206">
        <w:rPr>
          <w:rFonts w:ascii="宋体" w:hAnsi="宋体" w:cs="宋体" w:hint="eastAsia"/>
          <w:sz w:val="24"/>
        </w:rPr>
        <w:t>节，第3讲）；</w:t>
      </w:r>
      <w:bookmarkEnd w:id="244"/>
      <w:bookmarkEnd w:id="245"/>
    </w:p>
    <w:p w:rsidR="00481206" w:rsidRPr="00481206" w:rsidRDefault="00010356" w:rsidP="00481206">
      <w:pPr>
        <w:spacing w:line="360" w:lineRule="auto"/>
        <w:ind w:firstLineChars="200" w:firstLine="480"/>
        <w:outlineLvl w:val="1"/>
        <w:rPr>
          <w:rFonts w:ascii="宋体" w:hAnsi="宋体" w:cs="宋体"/>
          <w:sz w:val="24"/>
        </w:rPr>
      </w:pPr>
      <w:bookmarkStart w:id="246" w:name="_Toc444350153"/>
      <w:bookmarkStart w:id="247" w:name="_Toc474271628"/>
      <w:r>
        <w:rPr>
          <w:rFonts w:ascii="宋体" w:hAnsi="宋体" w:cs="宋体" w:hint="eastAsia"/>
          <w:sz w:val="24"/>
        </w:rPr>
        <w:t>2017</w:t>
      </w:r>
      <w:r w:rsidR="00481206" w:rsidRPr="00481206">
        <w:rPr>
          <w:rFonts w:ascii="宋体" w:hAnsi="宋体" w:cs="宋体" w:hint="eastAsia"/>
          <w:sz w:val="24"/>
        </w:rPr>
        <w:t>年</w:t>
      </w:r>
      <w:r>
        <w:rPr>
          <w:rFonts w:ascii="宋体" w:hAnsi="宋体" w:cs="宋体" w:hint="eastAsia"/>
          <w:sz w:val="24"/>
        </w:rPr>
        <w:t>5</w:t>
      </w:r>
      <w:r w:rsidR="00481206" w:rsidRPr="00481206">
        <w:rPr>
          <w:rFonts w:ascii="宋体" w:hAnsi="宋体" w:cs="宋体" w:hint="eastAsia"/>
          <w:sz w:val="24"/>
        </w:rPr>
        <w:t>月</w:t>
      </w:r>
      <w:r>
        <w:rPr>
          <w:rFonts w:ascii="宋体" w:hAnsi="宋体" w:cs="宋体" w:hint="eastAsia"/>
          <w:sz w:val="24"/>
        </w:rPr>
        <w:t>4</w:t>
      </w:r>
      <w:r w:rsidR="00481206" w:rsidRPr="00481206">
        <w:rPr>
          <w:rFonts w:ascii="宋体" w:hAnsi="宋体" w:cs="宋体" w:hint="eastAsia"/>
          <w:sz w:val="24"/>
        </w:rPr>
        <w:t>日（</w:t>
      </w:r>
      <w:r>
        <w:rPr>
          <w:rFonts w:ascii="宋体" w:hAnsi="宋体" w:cs="宋体" w:hint="eastAsia"/>
          <w:sz w:val="24"/>
        </w:rPr>
        <w:t>周四上午3</w:t>
      </w:r>
      <w:r w:rsidRPr="00481206">
        <w:rPr>
          <w:rFonts w:ascii="宋体" w:hAnsi="宋体" w:cs="宋体" w:hint="eastAsia"/>
          <w:sz w:val="24"/>
        </w:rPr>
        <w:t>、</w:t>
      </w:r>
      <w:r>
        <w:rPr>
          <w:rFonts w:ascii="宋体" w:hAnsi="宋体" w:cs="宋体" w:hint="eastAsia"/>
          <w:sz w:val="24"/>
        </w:rPr>
        <w:t>4</w:t>
      </w:r>
      <w:r w:rsidRPr="00481206">
        <w:rPr>
          <w:rFonts w:ascii="宋体" w:hAnsi="宋体" w:cs="宋体" w:hint="eastAsia"/>
          <w:sz w:val="24"/>
        </w:rPr>
        <w:t>节</w:t>
      </w:r>
      <w:r w:rsidR="00481206" w:rsidRPr="00481206">
        <w:rPr>
          <w:rFonts w:ascii="宋体" w:hAnsi="宋体" w:cs="宋体" w:hint="eastAsia"/>
          <w:sz w:val="24"/>
        </w:rPr>
        <w:t>，第4讲）。</w:t>
      </w:r>
      <w:bookmarkEnd w:id="246"/>
      <w:bookmarkEnd w:id="247"/>
    </w:p>
    <w:p w:rsidR="00481206" w:rsidRPr="00481206" w:rsidRDefault="00481206" w:rsidP="00481206">
      <w:pPr>
        <w:spacing w:line="360" w:lineRule="auto"/>
        <w:ind w:firstLineChars="200" w:firstLine="480"/>
        <w:outlineLvl w:val="1"/>
        <w:rPr>
          <w:rFonts w:ascii="宋体" w:hAnsi="宋体" w:cs="宋体"/>
          <w:bCs/>
          <w:sz w:val="24"/>
        </w:rPr>
      </w:pPr>
      <w:bookmarkStart w:id="248" w:name="_Toc430423156"/>
      <w:bookmarkStart w:id="249" w:name="_Toc444350154"/>
      <w:bookmarkStart w:id="250" w:name="_Toc474271629"/>
      <w:r w:rsidRPr="00481206">
        <w:rPr>
          <w:rFonts w:ascii="宋体" w:hAnsi="宋体" w:cs="宋体" w:hint="eastAsia"/>
          <w:bCs/>
          <w:sz w:val="24"/>
        </w:rPr>
        <w:t>7.2.2教学目标</w:t>
      </w:r>
      <w:bookmarkEnd w:id="248"/>
      <w:bookmarkEnd w:id="249"/>
      <w:bookmarkEnd w:id="250"/>
    </w:p>
    <w:p w:rsidR="00481206" w:rsidRPr="00481206" w:rsidRDefault="00481206" w:rsidP="00481206">
      <w:pPr>
        <w:spacing w:line="360" w:lineRule="auto"/>
        <w:ind w:leftChars="100" w:left="210"/>
        <w:outlineLvl w:val="1"/>
        <w:rPr>
          <w:rFonts w:ascii="宋体" w:hAnsi="宋体" w:cs="宋体"/>
          <w:sz w:val="24"/>
        </w:rPr>
      </w:pPr>
      <w:r w:rsidRPr="00481206">
        <w:rPr>
          <w:rFonts w:ascii="宋体" w:hAnsi="宋体" w:cs="宋体" w:hint="eastAsia"/>
          <w:sz w:val="24"/>
        </w:rPr>
        <w:t xml:space="preserve">  </w:t>
      </w:r>
      <w:bookmarkStart w:id="251" w:name="_Toc430423157"/>
      <w:bookmarkStart w:id="252" w:name="_Toc444350155"/>
      <w:bookmarkStart w:id="253" w:name="_Toc474271630"/>
      <w:r w:rsidRPr="00481206">
        <w:rPr>
          <w:rFonts w:ascii="宋体" w:hAnsi="宋体" w:cs="宋体" w:hint="eastAsia"/>
          <w:sz w:val="24"/>
        </w:rPr>
        <w:t>分析了解</w:t>
      </w:r>
      <w:r w:rsidRPr="00481206">
        <w:rPr>
          <w:rFonts w:hint="eastAsia"/>
          <w:bCs/>
          <w:sz w:val="24"/>
        </w:rPr>
        <w:t>金融期货的定义与种类</w:t>
      </w:r>
      <w:r w:rsidRPr="00481206">
        <w:rPr>
          <w:rFonts w:ascii="宋体" w:hAnsi="宋体" w:cs="宋体" w:hint="eastAsia"/>
          <w:sz w:val="24"/>
        </w:rPr>
        <w:t>；掌握</w:t>
      </w:r>
      <w:r w:rsidRPr="00481206">
        <w:rPr>
          <w:rFonts w:hint="eastAsia"/>
          <w:bCs/>
          <w:sz w:val="24"/>
        </w:rPr>
        <w:t>金融期货的交易制度；了解金融期货交易与远期交易的差别</w:t>
      </w:r>
      <w:r w:rsidRPr="00481206">
        <w:rPr>
          <w:rFonts w:ascii="宋体" w:hAnsi="宋体" w:cs="宋体" w:hint="eastAsia"/>
          <w:sz w:val="24"/>
        </w:rPr>
        <w:t>。</w:t>
      </w:r>
      <w:bookmarkEnd w:id="251"/>
      <w:bookmarkEnd w:id="252"/>
      <w:bookmarkEnd w:id="253"/>
      <w:r w:rsidRPr="00481206">
        <w:rPr>
          <w:rFonts w:ascii="宋体" w:hAnsi="宋体" w:cs="宋体" w:hint="eastAsia"/>
          <w:sz w:val="24"/>
        </w:rPr>
        <w:t xml:space="preserve"> </w:t>
      </w:r>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254" w:name="_Toc430423158"/>
      <w:bookmarkStart w:id="255" w:name="_Toc444350156"/>
      <w:bookmarkStart w:id="256" w:name="_Toc474271631"/>
      <w:r w:rsidRPr="00481206">
        <w:rPr>
          <w:rFonts w:ascii="宋体" w:hAnsi="宋体" w:cs="宋体" w:hint="eastAsia"/>
          <w:bCs/>
          <w:sz w:val="24"/>
        </w:rPr>
        <w:t>7.2.3单元教学内容</w:t>
      </w:r>
      <w:bookmarkEnd w:id="254"/>
      <w:bookmarkEnd w:id="255"/>
      <w:bookmarkEnd w:id="256"/>
      <w:r w:rsidRPr="00481206">
        <w:rPr>
          <w:rFonts w:ascii="宋体" w:hAnsi="宋体" w:cs="宋体" w:hint="eastAsia"/>
          <w:bCs/>
          <w:sz w:val="24"/>
        </w:rPr>
        <w:tab/>
      </w:r>
    </w:p>
    <w:p w:rsidR="00481206" w:rsidRPr="00481206" w:rsidRDefault="00481206" w:rsidP="00481206">
      <w:pPr>
        <w:spacing w:line="360" w:lineRule="auto"/>
        <w:ind w:left="602"/>
        <w:rPr>
          <w:bCs/>
          <w:sz w:val="24"/>
        </w:rPr>
      </w:pPr>
      <w:r w:rsidRPr="00481206">
        <w:rPr>
          <w:rFonts w:hint="eastAsia"/>
          <w:bCs/>
          <w:sz w:val="24"/>
        </w:rPr>
        <w:t>第一章</w:t>
      </w:r>
      <w:r w:rsidRPr="00481206">
        <w:rPr>
          <w:rFonts w:hint="eastAsia"/>
          <w:bCs/>
          <w:sz w:val="24"/>
        </w:rPr>
        <w:t xml:space="preserve"> </w:t>
      </w:r>
      <w:r w:rsidRPr="00481206">
        <w:rPr>
          <w:rFonts w:hint="eastAsia"/>
          <w:bCs/>
          <w:sz w:val="24"/>
        </w:rPr>
        <w:t>金融期货概述</w:t>
      </w:r>
    </w:p>
    <w:p w:rsidR="00481206" w:rsidRPr="00481206" w:rsidRDefault="00481206" w:rsidP="00481206">
      <w:pPr>
        <w:spacing w:line="360" w:lineRule="auto"/>
        <w:ind w:left="602"/>
        <w:rPr>
          <w:bCs/>
          <w:sz w:val="24"/>
        </w:rPr>
      </w:pPr>
      <w:r w:rsidRPr="00481206">
        <w:rPr>
          <w:rFonts w:hint="eastAsia"/>
          <w:bCs/>
          <w:sz w:val="24"/>
        </w:rPr>
        <w:t>第一节</w:t>
      </w:r>
      <w:r w:rsidRPr="00481206">
        <w:rPr>
          <w:rFonts w:hint="eastAsia"/>
          <w:bCs/>
          <w:sz w:val="24"/>
        </w:rPr>
        <w:t xml:space="preserve"> </w:t>
      </w:r>
      <w:r w:rsidRPr="00481206">
        <w:rPr>
          <w:rFonts w:hint="eastAsia"/>
          <w:bCs/>
          <w:sz w:val="24"/>
        </w:rPr>
        <w:t>金融期货的定义与种类</w:t>
      </w:r>
    </w:p>
    <w:p w:rsidR="00481206" w:rsidRPr="00481206" w:rsidRDefault="00481206" w:rsidP="00481206">
      <w:pPr>
        <w:spacing w:line="360" w:lineRule="auto"/>
        <w:ind w:left="602"/>
        <w:rPr>
          <w:bCs/>
          <w:sz w:val="24"/>
        </w:rPr>
      </w:pPr>
      <w:r w:rsidRPr="00481206">
        <w:rPr>
          <w:rFonts w:hint="eastAsia"/>
          <w:bCs/>
          <w:sz w:val="24"/>
        </w:rPr>
        <w:t>第二节</w:t>
      </w:r>
      <w:r w:rsidRPr="00481206">
        <w:rPr>
          <w:rFonts w:hint="eastAsia"/>
          <w:bCs/>
          <w:sz w:val="24"/>
        </w:rPr>
        <w:t xml:space="preserve"> </w:t>
      </w:r>
      <w:r w:rsidRPr="00481206">
        <w:rPr>
          <w:rFonts w:hint="eastAsia"/>
          <w:bCs/>
          <w:sz w:val="24"/>
        </w:rPr>
        <w:t>金融期货的交易制度</w:t>
      </w:r>
    </w:p>
    <w:p w:rsidR="00481206" w:rsidRPr="00481206" w:rsidRDefault="00481206" w:rsidP="00481206">
      <w:pPr>
        <w:spacing w:line="360" w:lineRule="auto"/>
        <w:ind w:left="602"/>
        <w:rPr>
          <w:bCs/>
          <w:sz w:val="24"/>
        </w:rPr>
      </w:pPr>
      <w:r w:rsidRPr="00481206">
        <w:rPr>
          <w:rFonts w:hint="eastAsia"/>
          <w:bCs/>
          <w:sz w:val="24"/>
        </w:rPr>
        <w:t>第三节</w:t>
      </w:r>
      <w:r w:rsidRPr="00481206">
        <w:rPr>
          <w:rFonts w:hint="eastAsia"/>
          <w:bCs/>
          <w:sz w:val="24"/>
        </w:rPr>
        <w:t xml:space="preserve"> </w:t>
      </w:r>
      <w:r w:rsidRPr="00481206">
        <w:rPr>
          <w:rFonts w:hint="eastAsia"/>
          <w:bCs/>
          <w:sz w:val="24"/>
        </w:rPr>
        <w:t>金融期货交易与远期交易</w:t>
      </w:r>
    </w:p>
    <w:p w:rsidR="00481206" w:rsidRPr="00481206" w:rsidRDefault="00481206" w:rsidP="00481206">
      <w:pPr>
        <w:spacing w:line="360" w:lineRule="auto"/>
        <w:ind w:left="602"/>
        <w:rPr>
          <w:bCs/>
          <w:sz w:val="24"/>
        </w:rPr>
      </w:pPr>
      <w:r w:rsidRPr="00481206">
        <w:rPr>
          <w:rFonts w:hint="eastAsia"/>
          <w:bCs/>
          <w:sz w:val="24"/>
        </w:rPr>
        <w:t>第四节</w:t>
      </w:r>
      <w:r w:rsidRPr="00481206">
        <w:rPr>
          <w:rFonts w:hint="eastAsia"/>
          <w:bCs/>
          <w:sz w:val="24"/>
        </w:rPr>
        <w:t xml:space="preserve"> </w:t>
      </w:r>
      <w:r w:rsidRPr="00481206">
        <w:rPr>
          <w:rFonts w:hint="eastAsia"/>
          <w:bCs/>
          <w:sz w:val="24"/>
        </w:rPr>
        <w:t>金融期货市场</w:t>
      </w:r>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257" w:name="_Toc430423167"/>
      <w:bookmarkStart w:id="258" w:name="_Toc444350157"/>
      <w:bookmarkStart w:id="259" w:name="_Toc474271632"/>
      <w:r w:rsidRPr="00481206">
        <w:rPr>
          <w:rFonts w:ascii="宋体" w:hAnsi="宋体" w:cs="宋体" w:hint="eastAsia"/>
          <w:sz w:val="24"/>
        </w:rPr>
        <w:t>【</w:t>
      </w:r>
      <w:r w:rsidRPr="00481206">
        <w:rPr>
          <w:rFonts w:ascii="宋体" w:hAnsi="宋体" w:cs="宋体" w:hint="eastAsia"/>
          <w:bCs/>
          <w:sz w:val="24"/>
        </w:rPr>
        <w:t>重点</w:t>
      </w:r>
      <w:r w:rsidRPr="00481206">
        <w:rPr>
          <w:rFonts w:ascii="宋体" w:hAnsi="宋体" w:cs="宋体" w:hint="eastAsia"/>
          <w:sz w:val="24"/>
        </w:rPr>
        <w:t>】</w:t>
      </w:r>
      <w:bookmarkEnd w:id="257"/>
      <w:bookmarkEnd w:id="258"/>
      <w:bookmarkEnd w:id="259"/>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260" w:name="_Toc430423168"/>
      <w:bookmarkStart w:id="261" w:name="_Toc444350158"/>
      <w:bookmarkStart w:id="262" w:name="_Toc474271633"/>
      <w:r w:rsidRPr="00481206">
        <w:rPr>
          <w:rFonts w:ascii="宋体" w:hAnsi="宋体" w:cs="宋体" w:hint="eastAsia"/>
          <w:sz w:val="24"/>
        </w:rPr>
        <w:t>了解</w:t>
      </w:r>
      <w:r w:rsidRPr="00481206">
        <w:rPr>
          <w:rFonts w:hint="eastAsia"/>
          <w:bCs/>
          <w:sz w:val="24"/>
        </w:rPr>
        <w:t>金融期货的定义与种类</w:t>
      </w:r>
      <w:r w:rsidRPr="00481206">
        <w:rPr>
          <w:rFonts w:ascii="宋体" w:hAnsi="宋体" w:cs="宋体" w:hint="eastAsia"/>
          <w:sz w:val="24"/>
        </w:rPr>
        <w:t>。</w:t>
      </w:r>
      <w:bookmarkEnd w:id="260"/>
      <w:bookmarkEnd w:id="261"/>
      <w:bookmarkEnd w:id="262"/>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263" w:name="_Toc430423169"/>
      <w:bookmarkStart w:id="264" w:name="_Toc444350159"/>
      <w:bookmarkStart w:id="265" w:name="_Toc474271634"/>
      <w:r w:rsidRPr="00481206">
        <w:rPr>
          <w:rFonts w:ascii="宋体" w:hAnsi="宋体" w:cs="宋体" w:hint="eastAsia"/>
          <w:sz w:val="24"/>
        </w:rPr>
        <w:t>【</w:t>
      </w:r>
      <w:r w:rsidRPr="00481206">
        <w:rPr>
          <w:rFonts w:ascii="宋体" w:hAnsi="宋体" w:cs="宋体" w:hint="eastAsia"/>
          <w:bCs/>
          <w:sz w:val="24"/>
        </w:rPr>
        <w:t>难点</w:t>
      </w:r>
      <w:r w:rsidRPr="00481206">
        <w:rPr>
          <w:rFonts w:ascii="宋体" w:hAnsi="宋体" w:cs="宋体" w:hint="eastAsia"/>
          <w:sz w:val="24"/>
        </w:rPr>
        <w:t>】</w:t>
      </w:r>
      <w:bookmarkEnd w:id="263"/>
      <w:bookmarkEnd w:id="264"/>
      <w:bookmarkEnd w:id="265"/>
    </w:p>
    <w:p w:rsidR="00481206" w:rsidRPr="00481206" w:rsidRDefault="00481206" w:rsidP="00481206">
      <w:pPr>
        <w:spacing w:line="360" w:lineRule="auto"/>
        <w:outlineLvl w:val="1"/>
        <w:rPr>
          <w:rFonts w:ascii="宋体" w:hAnsi="宋体" w:cs="宋体"/>
          <w:sz w:val="24"/>
        </w:rPr>
      </w:pPr>
      <w:bookmarkStart w:id="266" w:name="_Toc430423170"/>
      <w:bookmarkStart w:id="267" w:name="_Toc444350160"/>
      <w:bookmarkStart w:id="268" w:name="_Toc474271635"/>
      <w:r w:rsidRPr="00481206">
        <w:rPr>
          <w:rFonts w:ascii="宋体" w:hAnsi="宋体" w:cs="宋体" w:hint="eastAsia"/>
          <w:sz w:val="24"/>
        </w:rPr>
        <w:t xml:space="preserve">  </w:t>
      </w:r>
      <w:r w:rsidRPr="00481206">
        <w:rPr>
          <w:rFonts w:hint="eastAsia"/>
          <w:bCs/>
          <w:sz w:val="24"/>
        </w:rPr>
        <w:t>金融期货交易与远期交易的区别</w:t>
      </w:r>
      <w:r w:rsidRPr="00481206">
        <w:rPr>
          <w:rFonts w:ascii="宋体" w:hAnsi="宋体" w:cs="宋体" w:hint="eastAsia"/>
          <w:sz w:val="24"/>
        </w:rPr>
        <w:t>。</w:t>
      </w:r>
      <w:bookmarkEnd w:id="266"/>
      <w:bookmarkEnd w:id="267"/>
      <w:bookmarkEnd w:id="268"/>
    </w:p>
    <w:p w:rsidR="00481206" w:rsidRPr="00481206" w:rsidRDefault="00481206" w:rsidP="00481206">
      <w:pPr>
        <w:spacing w:line="360" w:lineRule="auto"/>
        <w:ind w:firstLineChars="200" w:firstLine="480"/>
        <w:outlineLvl w:val="1"/>
        <w:rPr>
          <w:rFonts w:ascii="宋体" w:hAnsi="宋体" w:cs="宋体"/>
          <w:bCs/>
          <w:sz w:val="24"/>
        </w:rPr>
      </w:pPr>
      <w:bookmarkStart w:id="269" w:name="_Toc430423171"/>
      <w:bookmarkStart w:id="270" w:name="_Toc444350161"/>
      <w:bookmarkStart w:id="271" w:name="_Toc474271636"/>
      <w:r w:rsidRPr="00481206">
        <w:rPr>
          <w:rFonts w:ascii="宋体" w:hAnsi="宋体" w:cs="宋体" w:hint="eastAsia"/>
          <w:bCs/>
          <w:sz w:val="24"/>
        </w:rPr>
        <w:t>7.2.4单元教学过程（共3讲）</w:t>
      </w:r>
      <w:bookmarkEnd w:id="269"/>
      <w:bookmarkEnd w:id="270"/>
      <w:bookmarkEnd w:id="271"/>
    </w:p>
    <w:p w:rsidR="00481206" w:rsidRPr="00481206" w:rsidRDefault="00481206" w:rsidP="00481206">
      <w:pPr>
        <w:numPr>
          <w:ilvl w:val="0"/>
          <w:numId w:val="3"/>
        </w:numPr>
        <w:tabs>
          <w:tab w:val="left" w:pos="420"/>
        </w:tabs>
        <w:spacing w:line="360" w:lineRule="auto"/>
        <w:ind w:left="840"/>
        <w:outlineLvl w:val="1"/>
        <w:rPr>
          <w:rFonts w:ascii="宋体" w:hAnsi="宋体" w:cs="宋体"/>
          <w:bCs/>
          <w:sz w:val="24"/>
        </w:rPr>
      </w:pPr>
      <w:bookmarkStart w:id="272" w:name="_Toc444350162"/>
      <w:bookmarkStart w:id="273" w:name="_Toc474271637"/>
      <w:bookmarkStart w:id="274" w:name="_Toc430423210"/>
      <w:r w:rsidRPr="00481206">
        <w:rPr>
          <w:rFonts w:ascii="宋体" w:hAnsi="宋体" w:cs="宋体" w:hint="eastAsia"/>
          <w:bCs/>
          <w:sz w:val="24"/>
        </w:rPr>
        <w:t>第2讲（共90分钟）</w:t>
      </w:r>
      <w:bookmarkEnd w:id="272"/>
      <w:bookmarkEnd w:id="273"/>
    </w:p>
    <w:p w:rsidR="00481206" w:rsidRPr="00481206" w:rsidRDefault="00481206" w:rsidP="00481206">
      <w:pPr>
        <w:spacing w:line="360" w:lineRule="auto"/>
        <w:jc w:val="center"/>
        <w:outlineLvl w:val="1"/>
        <w:rPr>
          <w:rFonts w:ascii="宋体" w:hAnsi="宋体" w:cs="宋体"/>
          <w:bCs/>
          <w:sz w:val="24"/>
        </w:rPr>
      </w:pPr>
      <w:bookmarkStart w:id="275" w:name="_Toc444350163"/>
      <w:bookmarkStart w:id="276" w:name="_Toc474271638"/>
      <w:r w:rsidRPr="00481206">
        <w:rPr>
          <w:rFonts w:ascii="宋体" w:hAnsi="宋体" w:hint="eastAsia"/>
          <w:bCs/>
          <w:sz w:val="24"/>
        </w:rPr>
        <w:t>第一章   金融期货概述</w:t>
      </w:r>
      <w:bookmarkEnd w:id="275"/>
      <w:bookmarkEnd w:id="276"/>
    </w:p>
    <w:p w:rsidR="00481206" w:rsidRPr="00481206" w:rsidRDefault="00481206" w:rsidP="00481206">
      <w:pPr>
        <w:spacing w:line="360" w:lineRule="auto"/>
        <w:ind w:firstLine="437"/>
        <w:rPr>
          <w:rFonts w:ascii="宋体" w:hAnsi="宋体"/>
          <w:bCs/>
          <w:sz w:val="24"/>
        </w:rPr>
      </w:pPr>
      <w:r w:rsidRPr="00481206">
        <w:rPr>
          <w:rFonts w:ascii="宋体" w:hAnsi="宋体" w:hint="eastAsia"/>
          <w:bCs/>
          <w:sz w:val="24"/>
        </w:rPr>
        <w:t>自从1972年芝加哥商业交易所（CME）设立国际货币市场分部并推出第一张外汇期货合约以来，金融期货就取得了突飞猛进的发展。同时金融期货的发展又引发了其他金融衍生产品的推出，其中就包括金融期权。这也是我们在介绍金融期权之前介绍金融期货的原因。在本章我们首先从金融期货的基本定义入手，简单介绍金融期货的主要种类、交易制度、基本特点以及金融期货市场等问题。</w:t>
      </w:r>
    </w:p>
    <w:p w:rsidR="00481206" w:rsidRPr="00481206" w:rsidRDefault="00481206" w:rsidP="00481206">
      <w:pPr>
        <w:numPr>
          <w:ilvl w:val="0"/>
          <w:numId w:val="34"/>
        </w:numPr>
        <w:jc w:val="center"/>
        <w:rPr>
          <w:rFonts w:ascii="宋体" w:hAnsi="宋体"/>
          <w:bCs/>
          <w:sz w:val="24"/>
        </w:rPr>
      </w:pPr>
      <w:r w:rsidRPr="00481206">
        <w:rPr>
          <w:rFonts w:ascii="宋体" w:hAnsi="宋体" w:hint="eastAsia"/>
          <w:bCs/>
          <w:sz w:val="24"/>
        </w:rPr>
        <w:t xml:space="preserve">  金融期货的定义与种类</w:t>
      </w:r>
    </w:p>
    <w:p w:rsidR="00481206" w:rsidRPr="00481206" w:rsidRDefault="00481206" w:rsidP="00481206">
      <w:pPr>
        <w:spacing w:line="360" w:lineRule="auto"/>
        <w:ind w:left="525"/>
        <w:rPr>
          <w:rFonts w:ascii="宋体" w:hAnsi="宋体"/>
          <w:bCs/>
          <w:sz w:val="24"/>
        </w:rPr>
      </w:pPr>
      <w:r w:rsidRPr="00481206">
        <w:rPr>
          <w:rFonts w:ascii="宋体" w:hAnsi="宋体" w:hint="eastAsia"/>
          <w:bCs/>
          <w:sz w:val="24"/>
        </w:rPr>
        <w:t>一、金融期货的定义</w:t>
      </w:r>
    </w:p>
    <w:p w:rsidR="00481206" w:rsidRPr="00481206" w:rsidRDefault="00481206" w:rsidP="00481206">
      <w:pPr>
        <w:spacing w:line="360" w:lineRule="auto"/>
        <w:ind w:firstLineChars="146" w:firstLine="350"/>
        <w:outlineLvl w:val="0"/>
        <w:rPr>
          <w:rFonts w:ascii="宋体" w:hAnsi="宋体"/>
          <w:bCs/>
          <w:sz w:val="24"/>
        </w:rPr>
      </w:pPr>
      <w:bookmarkStart w:id="277" w:name="_Toc444350164"/>
      <w:bookmarkStart w:id="278" w:name="_Toc474271639"/>
      <w:r w:rsidRPr="00481206">
        <w:rPr>
          <w:rFonts w:ascii="宋体" w:hAnsi="宋体" w:hint="eastAsia"/>
          <w:bCs/>
          <w:sz w:val="24"/>
        </w:rPr>
        <w:lastRenderedPageBreak/>
        <w:t>（一）什么是远期合约？</w:t>
      </w:r>
      <w:bookmarkEnd w:id="277"/>
      <w:bookmarkEnd w:id="278"/>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t>1.远期合约的概念</w:t>
      </w:r>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t>远期合约就是在未来某个确定的时间，按照某个特定的价格，购买或出售某种资产的一种协议。一般来讲，购买方成为多头，出售方成为空头。</w:t>
      </w:r>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t>例1：比如2月1日，你去书店中购买畅销书《货币战争》，但收银员告诉你该书已经售完，同时告诉你3月1日会进的新书，由于该书比较畅销，如果你担心3月1日该书会很快售完，你可以和收银员签订一份“协议”，该“协议”的内容是3月1日你会来该书店以书后表明的价格购买该书，因此，这份“协议”就锁定了一本《货币战争》，同时也相当于一份“远期合约”，因为它锁定了未来交割的时间和价格。</w:t>
      </w:r>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t>例2：以外汇远期为例。某进口商将于3个月后付款100万美元，当前的汇率为8.3（即1美元兑换8.3元人民币）；在这三个月内，如果汇率每上升0.01，进口商就要多支付人民币1万元。为了防止人民币贬值的汇率风险，进口商同时签订了一份远期合约，远期合约的标的资产是100万美元，协议上确定的交割汇率是1美元兑换8.3元人民币，3个月后交割。这样，无论市场上汇率如何变动，进口商已经把成本锁定在830万人民币。也叫做套期保值行为。</w:t>
      </w:r>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t>远期合约和现货交易的区别：现货交易就是一手交钱，一手交货。</w:t>
      </w:r>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t>2.远期合约的损益图</w:t>
      </w:r>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t>如果用K来代表远期合约中规定的交割价格，用S来代表同样标的资产现货市场上的即时价格，用ST来代表远期合约交割时的现货价格，则：</w:t>
      </w:r>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t>多头的收益为ST-K</w:t>
      </w:r>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t>空头的收益为K-ST</w:t>
      </w:r>
    </w:p>
    <w:p w:rsidR="00481206" w:rsidRPr="00481206" w:rsidRDefault="00EF6E22" w:rsidP="00481206">
      <w:pPr>
        <w:spacing w:line="360" w:lineRule="auto"/>
        <w:ind w:firstLineChars="195" w:firstLine="468"/>
        <w:rPr>
          <w:rFonts w:ascii="宋体" w:hAnsi="宋体"/>
          <w:bCs/>
          <w:sz w:val="24"/>
        </w:rPr>
      </w:pPr>
      <w:r>
        <w:rPr>
          <w:rFonts w:ascii="宋体" w:hAnsi="宋体"/>
          <w:bCs/>
          <w:sz w:val="24"/>
        </w:rPr>
      </w:r>
      <w:r>
        <w:rPr>
          <w:rFonts w:ascii="宋体" w:hAnsi="宋体"/>
          <w:bCs/>
          <w:sz w:val="24"/>
        </w:rPr>
        <w:pict>
          <v:group id="_x0000_s1267" editas="canvas" style="width:414pt;height:140.4pt;mso-position-horizontal-relative:char;mso-position-vertical-relative:line" coordorigin="2362,9640" coordsize="7200,2446">
            <o:lock v:ext="edit" aspectratio="t"/>
            <v:shape id="_x0000_s1268" type="#_x0000_t75" style="position:absolute;left:2362;top:9640;width:7200;height:2446" o:preferrelative="f">
              <v:fill o:detectmouseclick="t"/>
              <v:path o:extrusionok="t" o:connecttype="none"/>
              <o:lock v:ext="edit" text="t"/>
            </v:shape>
            <v:line id="_x0000_s1269" style="position:absolute" from="4240,10863" to="7527,10864">
              <v:stroke endarrow="block"/>
            </v:line>
            <v:line id="_x0000_s1270" style="position:absolute;flip:y" from="4240,9640" to="4240,11950">
              <v:stroke endarrow="block"/>
            </v:line>
            <v:line id="_x0000_s1271" style="position:absolute;flip:y" from="4240,9912" to="6745,11542"/>
            <v:rect id="_x0000_s1272" style="position:absolute;left:7684;top:10591;width:1252;height:544" stroked="f">
              <v:textbox>
                <w:txbxContent>
                  <w:p w:rsidR="00481206" w:rsidRDefault="00481206" w:rsidP="00481206">
                    <w:r>
                      <w:rPr>
                        <w:rFonts w:hint="eastAsia"/>
                      </w:rPr>
                      <w:t>ST</w:t>
                    </w:r>
                  </w:p>
                </w:txbxContent>
              </v:textbox>
            </v:rect>
            <v:rect id="_x0000_s1273" style="position:absolute;left:5336;top:10999;width:1096;height:543" stroked="f">
              <v:textbox>
                <w:txbxContent>
                  <w:p w:rsidR="00481206" w:rsidRDefault="00481206" w:rsidP="00481206">
                    <w:r>
                      <w:rPr>
                        <w:rFonts w:hint="eastAsia"/>
                      </w:rPr>
                      <w:t>K</w:t>
                    </w:r>
                  </w:p>
                </w:txbxContent>
              </v:textbox>
            </v:rect>
            <v:rect id="_x0000_s1274" style="position:absolute;left:3145;top:11135;width:939;height:679" stroked="f">
              <v:textbox>
                <w:txbxContent>
                  <w:p w:rsidR="00481206" w:rsidRDefault="00481206" w:rsidP="00481206"/>
                  <w:p w:rsidR="00481206" w:rsidRDefault="00481206" w:rsidP="00481206">
                    <w:r>
                      <w:rPr>
                        <w:rFonts w:hint="eastAsia"/>
                      </w:rPr>
                      <w:t xml:space="preserve">    -K</w:t>
                    </w:r>
                  </w:p>
                </w:txbxContent>
              </v:textbox>
            </v:rect>
            <w10:wrap type="none"/>
            <w10:anchorlock/>
          </v:group>
        </w:pict>
      </w:r>
    </w:p>
    <w:p w:rsidR="00481206" w:rsidRPr="00481206" w:rsidRDefault="00481206" w:rsidP="00481206">
      <w:pPr>
        <w:spacing w:line="360" w:lineRule="auto"/>
        <w:ind w:firstLineChars="195" w:firstLine="468"/>
        <w:jc w:val="center"/>
        <w:rPr>
          <w:rFonts w:ascii="宋体" w:hAnsi="宋体"/>
          <w:bCs/>
          <w:sz w:val="24"/>
        </w:rPr>
      </w:pPr>
      <w:r w:rsidRPr="00481206">
        <w:rPr>
          <w:rFonts w:ascii="宋体" w:hAnsi="宋体" w:hint="eastAsia"/>
          <w:bCs/>
          <w:sz w:val="24"/>
        </w:rPr>
        <w:t>多头的损益图</w:t>
      </w:r>
    </w:p>
    <w:p w:rsidR="00481206" w:rsidRPr="00481206" w:rsidRDefault="00EF6E22" w:rsidP="00481206">
      <w:pPr>
        <w:spacing w:line="360" w:lineRule="auto"/>
        <w:ind w:firstLineChars="195" w:firstLine="468"/>
        <w:jc w:val="center"/>
        <w:rPr>
          <w:rFonts w:ascii="宋体" w:hAnsi="宋体"/>
          <w:bCs/>
          <w:sz w:val="24"/>
        </w:rPr>
      </w:pPr>
      <w:r>
        <w:rPr>
          <w:rFonts w:ascii="宋体" w:hAnsi="宋体"/>
          <w:bCs/>
          <w:sz w:val="24"/>
        </w:rPr>
      </w:r>
      <w:r>
        <w:rPr>
          <w:rFonts w:ascii="宋体" w:hAnsi="宋体"/>
          <w:bCs/>
          <w:sz w:val="24"/>
        </w:rPr>
        <w:pict>
          <v:group id="_x0000_s1253" editas="canvas" style="width:414pt;height:140.4pt;mso-position-horizontal-relative:char;mso-position-vertical-relative:line" coordorigin="2362,9640" coordsize="7200,2446">
            <o:lock v:ext="edit" aspectratio="t"/>
            <v:shape id="_x0000_s1254" type="#_x0000_t75" style="position:absolute;left:2362;top:9640;width:7200;height:2446" o:preferrelative="f">
              <v:fill o:detectmouseclick="t"/>
              <v:path o:extrusionok="t" o:connecttype="none"/>
              <o:lock v:ext="edit" text="t"/>
            </v:shape>
            <v:line id="_x0000_s1255" style="position:absolute" from="4240,10863" to="7527,10864">
              <v:stroke endarrow="block"/>
            </v:line>
            <v:line id="_x0000_s1256" style="position:absolute;flip:y" from="4240,9640" to="4240,11950">
              <v:stroke endarrow="block"/>
            </v:line>
            <v:rect id="_x0000_s1257" style="position:absolute;left:7684;top:10591;width:1252;height:544" stroked="f">
              <v:textbox>
                <w:txbxContent>
                  <w:p w:rsidR="00481206" w:rsidRDefault="00481206" w:rsidP="00481206">
                    <w:r>
                      <w:rPr>
                        <w:rFonts w:hint="eastAsia"/>
                      </w:rPr>
                      <w:t>ST</w:t>
                    </w:r>
                  </w:p>
                </w:txbxContent>
              </v:textbox>
            </v:rect>
            <v:rect id="_x0000_s1258" style="position:absolute;left:5336;top:10999;width:1096;height:543" stroked="f">
              <v:textbox>
                <w:txbxContent>
                  <w:p w:rsidR="00481206" w:rsidRDefault="00481206" w:rsidP="00481206">
                    <w:r>
                      <w:rPr>
                        <w:rFonts w:hint="eastAsia"/>
                      </w:rPr>
                      <w:t>K</w:t>
                    </w:r>
                  </w:p>
                </w:txbxContent>
              </v:textbox>
            </v:rect>
            <v:line id="_x0000_s1259" style="position:absolute" from="4240,9912" to="6745,11678"/>
            <v:rect id="_x0000_s1260" style="position:absolute;left:3145;top:9776;width:939;height:679" stroked="f">
              <v:textbox>
                <w:txbxContent>
                  <w:p w:rsidR="00481206" w:rsidRDefault="00481206" w:rsidP="00481206">
                    <w:pPr>
                      <w:ind w:firstLineChars="300" w:firstLine="630"/>
                    </w:pPr>
                    <w:r>
                      <w:rPr>
                        <w:rFonts w:hint="eastAsia"/>
                      </w:rPr>
                      <w:t>K</w:t>
                    </w:r>
                  </w:p>
                </w:txbxContent>
              </v:textbox>
            </v:rect>
            <w10:wrap type="none"/>
            <w10:anchorlock/>
          </v:group>
        </w:pict>
      </w:r>
    </w:p>
    <w:p w:rsidR="00481206" w:rsidRPr="00481206" w:rsidRDefault="00481206" w:rsidP="00481206">
      <w:pPr>
        <w:spacing w:line="360" w:lineRule="auto"/>
        <w:ind w:firstLineChars="195" w:firstLine="468"/>
        <w:jc w:val="center"/>
        <w:rPr>
          <w:rFonts w:ascii="宋体" w:hAnsi="宋体"/>
          <w:bCs/>
          <w:sz w:val="24"/>
        </w:rPr>
      </w:pPr>
      <w:r w:rsidRPr="00481206">
        <w:rPr>
          <w:rFonts w:ascii="宋体" w:hAnsi="宋体" w:hint="eastAsia"/>
          <w:bCs/>
          <w:sz w:val="24"/>
        </w:rPr>
        <w:t>空头的损益图</w:t>
      </w:r>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t>举例说明：某股票远期的交割价格为5元，当交割时，该股票的市场价格分别为3元、5元和8元时，计算多空双方的损益？</w:t>
      </w:r>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t>当市场价格为3元时，多方的损益为3-5=-2元，空方损益为5-3=2元</w:t>
      </w:r>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t>当市场价格为5元时，多方和空方的损益均为零。</w:t>
      </w:r>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t>当市场价格为8元时，多方的损益为8-5=3元，空方损益为5-8=-3元</w:t>
      </w:r>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注意：如果不考虑交易成本，远期合约中，多方和空方的损益和为零，因此远期合约也是一种“零和交易”，也叫做“零和游戏”。</w:t>
      </w:r>
    </w:p>
    <w:p w:rsidR="00481206" w:rsidRPr="00481206" w:rsidRDefault="00481206" w:rsidP="00481206">
      <w:pPr>
        <w:spacing w:line="360" w:lineRule="auto"/>
        <w:ind w:firstLineChars="195" w:firstLine="468"/>
        <w:outlineLvl w:val="0"/>
        <w:rPr>
          <w:rFonts w:ascii="宋体" w:hAnsi="宋体"/>
          <w:bCs/>
          <w:sz w:val="24"/>
        </w:rPr>
      </w:pPr>
      <w:bookmarkStart w:id="279" w:name="_Toc444350165"/>
      <w:bookmarkStart w:id="280" w:name="_Toc474271640"/>
      <w:r w:rsidRPr="00481206">
        <w:rPr>
          <w:rFonts w:ascii="宋体" w:hAnsi="宋体" w:hint="eastAsia"/>
          <w:bCs/>
          <w:sz w:val="24"/>
        </w:rPr>
        <w:t>3.远期合约的种类</w:t>
      </w:r>
      <w:bookmarkEnd w:id="279"/>
      <w:bookmarkEnd w:id="280"/>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（1）远期利率协议</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（2）远期外汇协议</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（3）远期股票协议</w:t>
      </w:r>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t>4．远期合约的特征</w:t>
      </w:r>
    </w:p>
    <w:p w:rsidR="00481206" w:rsidRPr="00481206" w:rsidRDefault="00481206" w:rsidP="00481206">
      <w:pPr>
        <w:spacing w:line="360" w:lineRule="auto"/>
        <w:ind w:firstLineChars="147" w:firstLine="353"/>
        <w:outlineLvl w:val="0"/>
        <w:rPr>
          <w:rFonts w:ascii="宋体" w:hAnsi="宋体"/>
          <w:bCs/>
          <w:sz w:val="24"/>
        </w:rPr>
      </w:pPr>
      <w:bookmarkStart w:id="281" w:name="_Toc444350166"/>
      <w:bookmarkStart w:id="282" w:name="_Toc474271641"/>
      <w:r w:rsidRPr="00481206">
        <w:rPr>
          <w:rFonts w:ascii="宋体" w:hAnsi="宋体" w:hint="eastAsia"/>
          <w:bCs/>
          <w:sz w:val="24"/>
        </w:rPr>
        <w:t>（1）远期合约是通过现代化通讯方式在场外进行的；</w:t>
      </w:r>
      <w:bookmarkEnd w:id="281"/>
      <w:bookmarkEnd w:id="282"/>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（2）远期合约交易双方互相认识，而且每一笔交易都是双方直接见面；</w:t>
      </w:r>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（3）远期合约交易不需要保证金，双方通过变化的远期价格差异来承担风险；</w:t>
      </w:r>
    </w:p>
    <w:p w:rsidR="00481206" w:rsidRPr="00481206" w:rsidRDefault="00481206" w:rsidP="00481206">
      <w:pPr>
        <w:spacing w:line="360" w:lineRule="auto"/>
        <w:ind w:firstLineChars="147" w:firstLine="353"/>
        <w:outlineLvl w:val="0"/>
        <w:rPr>
          <w:rFonts w:ascii="宋体" w:hAnsi="宋体"/>
          <w:bCs/>
          <w:sz w:val="24"/>
        </w:rPr>
      </w:pPr>
      <w:bookmarkStart w:id="283" w:name="_Toc444350167"/>
      <w:bookmarkStart w:id="284" w:name="_Toc474271642"/>
      <w:r w:rsidRPr="00481206">
        <w:rPr>
          <w:rFonts w:ascii="宋体" w:hAnsi="宋体" w:hint="eastAsia"/>
          <w:bCs/>
          <w:sz w:val="24"/>
        </w:rPr>
        <w:t>（4）远期合约大部分交易都导致实际交割；</w:t>
      </w:r>
      <w:bookmarkEnd w:id="283"/>
      <w:bookmarkEnd w:id="284"/>
    </w:p>
    <w:p w:rsidR="00481206" w:rsidRPr="00481206" w:rsidRDefault="00481206" w:rsidP="00481206">
      <w:pPr>
        <w:spacing w:line="360" w:lineRule="auto"/>
        <w:ind w:firstLineChars="150" w:firstLine="360"/>
        <w:outlineLvl w:val="0"/>
        <w:rPr>
          <w:rFonts w:ascii="宋体" w:hAnsi="宋体"/>
          <w:bCs/>
          <w:sz w:val="24"/>
        </w:rPr>
      </w:pPr>
      <w:bookmarkStart w:id="285" w:name="_Toc444350168"/>
      <w:bookmarkStart w:id="286" w:name="_Toc474271643"/>
      <w:r w:rsidRPr="00481206">
        <w:rPr>
          <w:rFonts w:ascii="宋体" w:hAnsi="宋体" w:hint="eastAsia"/>
          <w:bCs/>
          <w:sz w:val="24"/>
        </w:rPr>
        <w:t>（二）期货交易的基本概念</w:t>
      </w:r>
      <w:bookmarkEnd w:id="285"/>
      <w:bookmarkEnd w:id="286"/>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1.期货交易的概念</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期货交易（Futures transaction）是指交易双方在集中性的市场中，以公开竞价的方式所进行的期货合约的交易。</w:t>
      </w:r>
    </w:p>
    <w:p w:rsidR="00481206" w:rsidRPr="00481206" w:rsidRDefault="00481206" w:rsidP="00481206">
      <w:pPr>
        <w:spacing w:line="360" w:lineRule="auto"/>
        <w:ind w:firstLine="435"/>
        <w:rPr>
          <w:rFonts w:ascii="宋体" w:hAnsi="宋体"/>
          <w:bCs/>
          <w:sz w:val="24"/>
        </w:rPr>
      </w:pPr>
      <w:r w:rsidRPr="00481206">
        <w:rPr>
          <w:rFonts w:ascii="宋体" w:hAnsi="宋体" w:hint="eastAsia"/>
          <w:bCs/>
          <w:sz w:val="24"/>
        </w:rPr>
        <w:t>2.期货合约的概念</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期货合约（Futures contracts）则是由交易双方所订立的、约定于未来某日期，</w:t>
      </w:r>
      <w:r w:rsidRPr="00481206">
        <w:rPr>
          <w:rFonts w:ascii="宋体" w:hAnsi="宋体" w:hint="eastAsia"/>
          <w:bCs/>
          <w:sz w:val="24"/>
        </w:rPr>
        <w:lastRenderedPageBreak/>
        <w:t>以成交时所确定的价格交割一定数量的某种商品的标准化契约。这个“某种商品”，是期货合约的标的物，又叫做基础资产，基础资产可以是某种商品，比如原油、金属等，也可以是金融工具，比如债券、外汇等等，也可以是某个金融指标，比如股票指数。</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对期货合约中“标准化”的理解，即交易所中的每份期货合约均规定了合约的交易品种、交易单位、报价单位、最小变动价位，每日价格最大波动限制、价格时间等交易规则。下表是上海期货交易所黄金期货的标准合约</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2668"/>
        <w:gridCol w:w="6620"/>
      </w:tblGrid>
      <w:tr w:rsidR="00481206" w:rsidRPr="00481206" w:rsidTr="00CF0F4C">
        <w:tc>
          <w:tcPr>
            <w:tcW w:w="14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交易品种</w:t>
            </w:r>
          </w:p>
        </w:tc>
        <w:tc>
          <w:tcPr>
            <w:tcW w:w="35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黄金</w:t>
            </w:r>
          </w:p>
        </w:tc>
      </w:tr>
      <w:tr w:rsidR="00481206" w:rsidRPr="00481206" w:rsidTr="00CF0F4C">
        <w:tc>
          <w:tcPr>
            <w:tcW w:w="14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交易单位</w:t>
            </w:r>
          </w:p>
        </w:tc>
        <w:tc>
          <w:tcPr>
            <w:tcW w:w="35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1000克/手</w:t>
            </w:r>
          </w:p>
        </w:tc>
      </w:tr>
      <w:tr w:rsidR="00481206" w:rsidRPr="00481206" w:rsidTr="00CF0F4C">
        <w:tc>
          <w:tcPr>
            <w:tcW w:w="14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报价单位</w:t>
            </w:r>
          </w:p>
        </w:tc>
        <w:tc>
          <w:tcPr>
            <w:tcW w:w="35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元（人民币）/克</w:t>
            </w:r>
          </w:p>
        </w:tc>
      </w:tr>
      <w:tr w:rsidR="00481206" w:rsidRPr="00481206" w:rsidTr="00CF0F4C">
        <w:tc>
          <w:tcPr>
            <w:tcW w:w="14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最小变动价位</w:t>
            </w:r>
          </w:p>
        </w:tc>
        <w:tc>
          <w:tcPr>
            <w:tcW w:w="35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0.01元/克</w:t>
            </w:r>
          </w:p>
        </w:tc>
      </w:tr>
      <w:tr w:rsidR="00481206" w:rsidRPr="00481206" w:rsidTr="00CF0F4C">
        <w:tc>
          <w:tcPr>
            <w:tcW w:w="14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每日价格最大波动限制</w:t>
            </w:r>
          </w:p>
        </w:tc>
        <w:tc>
          <w:tcPr>
            <w:tcW w:w="35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不超过上一交易日结算价的5%</w:t>
            </w:r>
          </w:p>
        </w:tc>
      </w:tr>
      <w:tr w:rsidR="00481206" w:rsidRPr="00481206" w:rsidTr="00CF0F4C">
        <w:tc>
          <w:tcPr>
            <w:tcW w:w="14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合约交割月份</w:t>
            </w:r>
          </w:p>
        </w:tc>
        <w:tc>
          <w:tcPr>
            <w:tcW w:w="35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1-12月</w:t>
            </w:r>
          </w:p>
        </w:tc>
      </w:tr>
      <w:tr w:rsidR="00481206" w:rsidRPr="00481206" w:rsidTr="00CF0F4C">
        <w:tc>
          <w:tcPr>
            <w:tcW w:w="14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交易时间</w:t>
            </w:r>
          </w:p>
        </w:tc>
        <w:tc>
          <w:tcPr>
            <w:tcW w:w="35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上午9：00-11：30 下午1：30-3：30</w:t>
            </w:r>
          </w:p>
        </w:tc>
      </w:tr>
      <w:tr w:rsidR="00481206" w:rsidRPr="00481206" w:rsidTr="00CF0F4C">
        <w:tc>
          <w:tcPr>
            <w:tcW w:w="14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最后交易日</w:t>
            </w:r>
          </w:p>
        </w:tc>
        <w:tc>
          <w:tcPr>
            <w:tcW w:w="35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合约交割月份的15日（遇到法定节假日顺延）</w:t>
            </w:r>
          </w:p>
        </w:tc>
      </w:tr>
      <w:tr w:rsidR="00481206" w:rsidRPr="00481206" w:rsidTr="00CF0F4C">
        <w:tc>
          <w:tcPr>
            <w:tcW w:w="14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交割日期</w:t>
            </w:r>
          </w:p>
        </w:tc>
        <w:tc>
          <w:tcPr>
            <w:tcW w:w="35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最后交易日后连续5个工作日</w:t>
            </w:r>
          </w:p>
        </w:tc>
      </w:tr>
      <w:tr w:rsidR="00481206" w:rsidRPr="00481206" w:rsidTr="00CF0F4C">
        <w:tc>
          <w:tcPr>
            <w:tcW w:w="14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交割品种</w:t>
            </w:r>
          </w:p>
        </w:tc>
        <w:tc>
          <w:tcPr>
            <w:tcW w:w="3564" w:type="pct"/>
            <w:vAlign w:val="center"/>
          </w:tcPr>
          <w:p w:rsidR="00481206" w:rsidRPr="00481206" w:rsidRDefault="00481206" w:rsidP="00CF0F4C">
            <w:pPr>
              <w:rPr>
                <w:rFonts w:ascii="宋体" w:hAnsi="宋体"/>
                <w:bCs/>
                <w:sz w:val="24"/>
              </w:rPr>
            </w:pPr>
            <w:r w:rsidRPr="00481206">
              <w:rPr>
                <w:rFonts w:ascii="宋体" w:hAnsi="宋体" w:hint="eastAsia"/>
                <w:bCs/>
                <w:sz w:val="24"/>
              </w:rPr>
              <w:t>含金量不少于99.95%的国产金锭及经交易所认可的伦敦金银协会认定的合格供货商或精炼厂生产的标准金锭</w:t>
            </w:r>
          </w:p>
        </w:tc>
      </w:tr>
      <w:tr w:rsidR="00481206" w:rsidRPr="00481206" w:rsidTr="00CF0F4C">
        <w:tc>
          <w:tcPr>
            <w:tcW w:w="14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交割地点</w:t>
            </w:r>
          </w:p>
        </w:tc>
        <w:tc>
          <w:tcPr>
            <w:tcW w:w="35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交易所指定的交割金库</w:t>
            </w:r>
          </w:p>
        </w:tc>
      </w:tr>
      <w:tr w:rsidR="00481206" w:rsidRPr="00481206" w:rsidTr="00CF0F4C">
        <w:tc>
          <w:tcPr>
            <w:tcW w:w="14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交割方式</w:t>
            </w:r>
          </w:p>
        </w:tc>
        <w:tc>
          <w:tcPr>
            <w:tcW w:w="35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实物交割</w:t>
            </w:r>
          </w:p>
        </w:tc>
      </w:tr>
      <w:tr w:rsidR="00481206" w:rsidRPr="00481206" w:rsidTr="00CF0F4C">
        <w:tc>
          <w:tcPr>
            <w:tcW w:w="14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交易代码</w:t>
            </w:r>
          </w:p>
        </w:tc>
        <w:tc>
          <w:tcPr>
            <w:tcW w:w="35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AU</w:t>
            </w:r>
          </w:p>
        </w:tc>
      </w:tr>
      <w:tr w:rsidR="00481206" w:rsidRPr="00481206" w:rsidTr="00CF0F4C">
        <w:tc>
          <w:tcPr>
            <w:tcW w:w="14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上市交易所</w:t>
            </w:r>
          </w:p>
        </w:tc>
        <w:tc>
          <w:tcPr>
            <w:tcW w:w="35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上海期货交易所</w:t>
            </w:r>
          </w:p>
        </w:tc>
      </w:tr>
    </w:tbl>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最早的期货交易产生在美国，1848年美国芝加哥期货交易所（CBOT）的成立标志着期货交易的开始，芝加哥期货交易所成立之时还不是一个真正意义的期货交易所，当时只是一个进行现货交易和远期合约转让的场所。1865年，芝加哥期货交易所实行了合约的标准化，这才有了真正意义的期货合约。早期期货交易的标的物是农产品。最早的金融期货产生于1972年芝加哥期货交易所推出的外汇期货，标的物是外汇。</w:t>
      </w:r>
    </w:p>
    <w:p w:rsidR="00481206" w:rsidRPr="00481206" w:rsidRDefault="00481206" w:rsidP="00481206">
      <w:pPr>
        <w:spacing w:line="360" w:lineRule="auto"/>
        <w:ind w:firstLineChars="196" w:firstLine="470"/>
        <w:outlineLvl w:val="0"/>
        <w:rPr>
          <w:rFonts w:ascii="宋体" w:hAnsi="宋体"/>
          <w:bCs/>
          <w:sz w:val="24"/>
        </w:rPr>
      </w:pPr>
      <w:bookmarkStart w:id="287" w:name="_Toc444350169"/>
      <w:bookmarkStart w:id="288" w:name="_Toc474271644"/>
      <w:r w:rsidRPr="00481206">
        <w:rPr>
          <w:rFonts w:ascii="宋体" w:hAnsi="宋体" w:hint="eastAsia"/>
          <w:bCs/>
          <w:sz w:val="24"/>
        </w:rPr>
        <w:t>3.期货交易的基本特征</w:t>
      </w:r>
      <w:bookmarkEnd w:id="287"/>
      <w:bookmarkEnd w:id="288"/>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（1）期货市场具有专门的交易场所</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（2）期货市场的交易对象是标准化的期货合约</w:t>
      </w:r>
      <w:r w:rsidRPr="00481206">
        <w:rPr>
          <w:rFonts w:ascii="宋体" w:hAnsi="宋体"/>
          <w:bCs/>
          <w:sz w:val="24"/>
        </w:rPr>
        <w:t xml:space="preserve"> </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（3）适宜于进行期货交易的期货商品具有特殊性</w:t>
      </w:r>
      <w:r w:rsidRPr="00481206">
        <w:rPr>
          <w:rFonts w:ascii="宋体" w:hAnsi="宋体"/>
          <w:bCs/>
          <w:sz w:val="24"/>
        </w:rPr>
        <w:t xml:space="preserve"> </w:t>
      </w:r>
    </w:p>
    <w:p w:rsidR="00481206" w:rsidRPr="00481206" w:rsidRDefault="00481206" w:rsidP="00481206">
      <w:pPr>
        <w:spacing w:line="360" w:lineRule="auto"/>
        <w:ind w:firstLineChars="150" w:firstLine="360"/>
        <w:outlineLvl w:val="0"/>
        <w:rPr>
          <w:rFonts w:ascii="宋体" w:hAnsi="宋体"/>
          <w:bCs/>
          <w:sz w:val="24"/>
        </w:rPr>
      </w:pPr>
      <w:bookmarkStart w:id="289" w:name="_Toc444350170"/>
      <w:bookmarkStart w:id="290" w:name="_Toc474271645"/>
      <w:r w:rsidRPr="00481206">
        <w:rPr>
          <w:rFonts w:ascii="宋体" w:hAnsi="宋体" w:hint="eastAsia"/>
          <w:bCs/>
          <w:sz w:val="24"/>
        </w:rPr>
        <w:t>（4）期货交易是通过买卖双方公开竞价的方式进行的</w:t>
      </w:r>
      <w:bookmarkEnd w:id="289"/>
      <w:bookmarkEnd w:id="290"/>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（5）期货市场实行保证金制度</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（6）期货市场是一种高风险、高回报的市场</w:t>
      </w:r>
      <w:r w:rsidRPr="00481206">
        <w:rPr>
          <w:rFonts w:ascii="宋体" w:hAnsi="宋体"/>
          <w:bCs/>
          <w:sz w:val="24"/>
        </w:rPr>
        <w:t xml:space="preserve"> </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（7）期货交易是一种不以实物商品交割为目的的交易</w:t>
      </w:r>
      <w:r w:rsidRPr="00481206">
        <w:rPr>
          <w:rFonts w:ascii="宋体" w:hAnsi="宋体"/>
          <w:bCs/>
          <w:sz w:val="24"/>
        </w:rPr>
        <w:t xml:space="preserve"> </w:t>
      </w:r>
    </w:p>
    <w:p w:rsidR="00481206" w:rsidRPr="00481206" w:rsidRDefault="00481206" w:rsidP="00481206">
      <w:pPr>
        <w:spacing w:line="360" w:lineRule="auto"/>
        <w:ind w:firstLineChars="200" w:firstLine="480"/>
        <w:outlineLvl w:val="0"/>
        <w:rPr>
          <w:rFonts w:ascii="宋体" w:hAnsi="宋体"/>
          <w:bCs/>
          <w:sz w:val="24"/>
        </w:rPr>
      </w:pPr>
      <w:bookmarkStart w:id="291" w:name="_Toc444350171"/>
      <w:bookmarkStart w:id="292" w:name="_Toc474271646"/>
      <w:r w:rsidRPr="00481206">
        <w:rPr>
          <w:rFonts w:ascii="宋体" w:hAnsi="宋体" w:hint="eastAsia"/>
          <w:bCs/>
          <w:sz w:val="24"/>
        </w:rPr>
        <w:lastRenderedPageBreak/>
        <w:t>4.期货交易和远期交易的区别</w:t>
      </w:r>
      <w:bookmarkEnd w:id="291"/>
      <w:bookmarkEnd w:id="292"/>
    </w:p>
    <w:p w:rsidR="00481206" w:rsidRPr="00481206" w:rsidRDefault="00481206" w:rsidP="00481206">
      <w:pPr>
        <w:jc w:val="center"/>
        <w:rPr>
          <w:rFonts w:ascii="宋体" w:hAnsi="宋体"/>
          <w:bCs/>
          <w:sz w:val="24"/>
        </w:rPr>
      </w:pPr>
      <w:r w:rsidRPr="00481206">
        <w:rPr>
          <w:rFonts w:ascii="宋体" w:hAnsi="宋体" w:hint="eastAsia"/>
          <w:bCs/>
          <w:sz w:val="24"/>
        </w:rPr>
        <w:t>下表显示了期货交易与远期交易的主要区别</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2068"/>
        <w:gridCol w:w="3782"/>
        <w:gridCol w:w="3438"/>
      </w:tblGrid>
      <w:tr w:rsidR="00481206" w:rsidRPr="00481206" w:rsidTr="00CF0F4C">
        <w:tc>
          <w:tcPr>
            <w:tcW w:w="1113" w:type="pct"/>
            <w:vAlign w:val="center"/>
          </w:tcPr>
          <w:p w:rsidR="00481206" w:rsidRPr="00481206" w:rsidRDefault="00481206" w:rsidP="00CF0F4C">
            <w:pPr>
              <w:jc w:val="center"/>
              <w:rPr>
                <w:rFonts w:ascii="宋体" w:hAnsi="宋体"/>
                <w:bCs/>
                <w:sz w:val="24"/>
              </w:rPr>
            </w:pPr>
          </w:p>
        </w:tc>
        <w:tc>
          <w:tcPr>
            <w:tcW w:w="20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期货交易</w:t>
            </w:r>
          </w:p>
        </w:tc>
        <w:tc>
          <w:tcPr>
            <w:tcW w:w="1851"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远期交易</w:t>
            </w:r>
          </w:p>
        </w:tc>
      </w:tr>
      <w:tr w:rsidR="00481206" w:rsidRPr="00481206" w:rsidTr="00CF0F4C">
        <w:tc>
          <w:tcPr>
            <w:tcW w:w="1113"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交易的数量</w:t>
            </w:r>
          </w:p>
        </w:tc>
        <w:tc>
          <w:tcPr>
            <w:tcW w:w="20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标准化</w:t>
            </w:r>
          </w:p>
        </w:tc>
        <w:tc>
          <w:tcPr>
            <w:tcW w:w="1851"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自由协定</w:t>
            </w:r>
          </w:p>
        </w:tc>
      </w:tr>
      <w:tr w:rsidR="00481206" w:rsidRPr="00481206" w:rsidTr="00CF0F4C">
        <w:tc>
          <w:tcPr>
            <w:tcW w:w="1113"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交割的日期</w:t>
            </w:r>
          </w:p>
        </w:tc>
        <w:tc>
          <w:tcPr>
            <w:tcW w:w="20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标准化</w:t>
            </w:r>
          </w:p>
        </w:tc>
        <w:tc>
          <w:tcPr>
            <w:tcW w:w="1851"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自由协定</w:t>
            </w:r>
          </w:p>
        </w:tc>
      </w:tr>
      <w:tr w:rsidR="00481206" w:rsidRPr="00481206" w:rsidTr="00CF0F4C">
        <w:tc>
          <w:tcPr>
            <w:tcW w:w="1113"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交易的方式</w:t>
            </w:r>
          </w:p>
        </w:tc>
        <w:tc>
          <w:tcPr>
            <w:tcW w:w="20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场内交易</w:t>
            </w:r>
          </w:p>
        </w:tc>
        <w:tc>
          <w:tcPr>
            <w:tcW w:w="1851"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场外交易</w:t>
            </w:r>
          </w:p>
        </w:tc>
      </w:tr>
      <w:tr w:rsidR="00481206" w:rsidRPr="00481206" w:rsidTr="00CF0F4C">
        <w:tc>
          <w:tcPr>
            <w:tcW w:w="1113"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履约保证</w:t>
            </w:r>
          </w:p>
        </w:tc>
        <w:tc>
          <w:tcPr>
            <w:tcW w:w="20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双方均须缴纳保证金</w:t>
            </w:r>
          </w:p>
        </w:tc>
        <w:tc>
          <w:tcPr>
            <w:tcW w:w="1851"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信用</w:t>
            </w:r>
          </w:p>
        </w:tc>
      </w:tr>
      <w:tr w:rsidR="00481206" w:rsidRPr="00481206" w:rsidTr="00CF0F4C">
        <w:tc>
          <w:tcPr>
            <w:tcW w:w="1113"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结算业务</w:t>
            </w:r>
          </w:p>
        </w:tc>
        <w:tc>
          <w:tcPr>
            <w:tcW w:w="20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由专门的清算所结算</w:t>
            </w:r>
          </w:p>
        </w:tc>
        <w:tc>
          <w:tcPr>
            <w:tcW w:w="1851"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交易双方直接结算</w:t>
            </w:r>
          </w:p>
        </w:tc>
      </w:tr>
      <w:tr w:rsidR="00481206" w:rsidRPr="00481206" w:rsidTr="00CF0F4C">
        <w:tc>
          <w:tcPr>
            <w:tcW w:w="1113"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承担的风险</w:t>
            </w:r>
          </w:p>
        </w:tc>
        <w:tc>
          <w:tcPr>
            <w:tcW w:w="20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价格风险</w:t>
            </w:r>
          </w:p>
        </w:tc>
        <w:tc>
          <w:tcPr>
            <w:tcW w:w="1851"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价格风险和信用风险</w:t>
            </w:r>
          </w:p>
        </w:tc>
      </w:tr>
      <w:tr w:rsidR="00481206" w:rsidRPr="00481206" w:rsidTr="00CF0F4C">
        <w:tc>
          <w:tcPr>
            <w:tcW w:w="1113"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实际交割率</w:t>
            </w:r>
          </w:p>
        </w:tc>
        <w:tc>
          <w:tcPr>
            <w:tcW w:w="20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1%-2%</w:t>
            </w:r>
          </w:p>
        </w:tc>
        <w:tc>
          <w:tcPr>
            <w:tcW w:w="1851"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90%</w:t>
            </w:r>
          </w:p>
        </w:tc>
      </w:tr>
      <w:tr w:rsidR="00481206" w:rsidRPr="00481206" w:rsidTr="00CF0F4C">
        <w:tc>
          <w:tcPr>
            <w:tcW w:w="1113"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价格决定</w:t>
            </w:r>
          </w:p>
        </w:tc>
        <w:tc>
          <w:tcPr>
            <w:tcW w:w="20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公开竞价</w:t>
            </w:r>
          </w:p>
        </w:tc>
        <w:tc>
          <w:tcPr>
            <w:tcW w:w="1851"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由银行报价</w:t>
            </w:r>
          </w:p>
        </w:tc>
      </w:tr>
      <w:tr w:rsidR="00481206" w:rsidRPr="00481206" w:rsidTr="00CF0F4C">
        <w:tc>
          <w:tcPr>
            <w:tcW w:w="1113"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现金流动</w:t>
            </w:r>
          </w:p>
        </w:tc>
        <w:tc>
          <w:tcPr>
            <w:tcW w:w="20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每天发生（逐日盯市）</w:t>
            </w:r>
          </w:p>
        </w:tc>
        <w:tc>
          <w:tcPr>
            <w:tcW w:w="1851"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到期日发生</w:t>
            </w:r>
          </w:p>
        </w:tc>
      </w:tr>
    </w:tbl>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两者的差别主要体现在如下几个方面：</w:t>
      </w:r>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（1）交易场所不同</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远期交易一般都是在场外市场进行，双方主要是通过电话、电报成交，或直接通过柜台交易成交。而期货交易则一般都是场内交易，双方都必须在正规的交易所内进行集中交易。</w:t>
      </w:r>
    </w:p>
    <w:p w:rsidR="00481206" w:rsidRPr="00481206" w:rsidRDefault="00481206" w:rsidP="00481206">
      <w:pPr>
        <w:spacing w:line="360" w:lineRule="auto"/>
        <w:ind w:firstLineChars="147" w:firstLine="353"/>
        <w:outlineLvl w:val="0"/>
        <w:rPr>
          <w:rFonts w:ascii="宋体" w:hAnsi="宋体"/>
          <w:bCs/>
          <w:sz w:val="24"/>
        </w:rPr>
      </w:pPr>
      <w:bookmarkStart w:id="293" w:name="_Toc444350172"/>
      <w:bookmarkStart w:id="294" w:name="_Toc474271647"/>
      <w:r w:rsidRPr="00481206">
        <w:rPr>
          <w:rFonts w:ascii="宋体" w:hAnsi="宋体" w:hint="eastAsia"/>
          <w:bCs/>
          <w:sz w:val="24"/>
        </w:rPr>
        <w:t>（2）履约保证不同</w:t>
      </w:r>
      <w:bookmarkEnd w:id="293"/>
      <w:bookmarkEnd w:id="294"/>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期货交易实行的是保证金制度，交易双方都必须按照规定的比率缴纳保证金。交易所和经纪人正是依靠这种保证金来确保交易双方履约的。而远期交易不实行保证金制度，其履约的保证只是客户的信用。因此，在期货交易中，只要缴纳保证金，任何人都可以参与交易，但在远期交易中，只有那些信用等级较高的大机构才可以参与。</w:t>
      </w:r>
    </w:p>
    <w:p w:rsidR="00481206" w:rsidRPr="00481206" w:rsidRDefault="00481206" w:rsidP="00481206">
      <w:pPr>
        <w:spacing w:line="360" w:lineRule="auto"/>
        <w:ind w:firstLineChars="150" w:firstLine="360"/>
        <w:outlineLvl w:val="0"/>
        <w:rPr>
          <w:rFonts w:ascii="宋体" w:hAnsi="宋体"/>
          <w:bCs/>
          <w:sz w:val="24"/>
        </w:rPr>
      </w:pPr>
      <w:bookmarkStart w:id="295" w:name="_Toc444350173"/>
      <w:bookmarkStart w:id="296" w:name="_Toc474271648"/>
      <w:r w:rsidRPr="00481206">
        <w:rPr>
          <w:rFonts w:ascii="宋体" w:hAnsi="宋体" w:hint="eastAsia"/>
          <w:bCs/>
          <w:sz w:val="24"/>
        </w:rPr>
        <w:t>（3）实际交割率不同</w:t>
      </w:r>
      <w:bookmarkEnd w:id="295"/>
      <w:bookmarkEnd w:id="296"/>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在远期交易中，所有成交的合约几乎都要到期交割，因为这种交易一般都以到期交割为主要目的。所以，如果不考虑违约，远期交易的实际交割率应为100%。但在期货交易中，无论是套期保值者，还是套利者或投机者，他们在成交后往往并不等到到期后通过实物交收而平仓，而是在到期前通过反向交易而平仓，因此其实际交割率很低。</w:t>
      </w:r>
    </w:p>
    <w:p w:rsidR="00481206" w:rsidRPr="00481206" w:rsidRDefault="00481206" w:rsidP="00481206">
      <w:pPr>
        <w:spacing w:line="360" w:lineRule="auto"/>
        <w:ind w:firstLineChars="150" w:firstLine="360"/>
        <w:outlineLvl w:val="0"/>
        <w:rPr>
          <w:rFonts w:ascii="宋体" w:hAnsi="宋体"/>
          <w:bCs/>
          <w:sz w:val="24"/>
        </w:rPr>
      </w:pPr>
      <w:bookmarkStart w:id="297" w:name="_Toc444350174"/>
      <w:bookmarkStart w:id="298" w:name="_Toc474271649"/>
      <w:r w:rsidRPr="00481206">
        <w:rPr>
          <w:rFonts w:ascii="宋体" w:hAnsi="宋体" w:hint="eastAsia"/>
          <w:bCs/>
          <w:sz w:val="24"/>
        </w:rPr>
        <w:t>（4）现金流量的变动不同</w:t>
      </w:r>
      <w:bookmarkEnd w:id="297"/>
      <w:bookmarkEnd w:id="298"/>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期货交易实行逐日结算制度，所以只要价格发生变动，现金流量在每个交易日都要发生变动。而远期交易并不实行逐日结算制度，所以交易双方只是在合约到期日才发生现金流量的变动。</w:t>
      </w:r>
    </w:p>
    <w:p w:rsidR="00481206" w:rsidRPr="00481206" w:rsidRDefault="00481206" w:rsidP="00481206">
      <w:pPr>
        <w:spacing w:line="360" w:lineRule="auto"/>
        <w:ind w:firstLineChars="230" w:firstLine="552"/>
        <w:rPr>
          <w:rFonts w:ascii="宋体" w:hAnsi="宋体"/>
          <w:bCs/>
          <w:sz w:val="24"/>
        </w:rPr>
      </w:pPr>
      <w:r w:rsidRPr="00481206">
        <w:rPr>
          <w:rFonts w:ascii="宋体" w:hAnsi="宋体" w:hint="eastAsia"/>
          <w:bCs/>
          <w:sz w:val="24"/>
        </w:rPr>
        <w:t>5.期货交易和现货交易的差别：</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（1）买卖的直接对象不同。现货交易买卖的对象是商品本身，期货买卖的对象是期</w:t>
      </w:r>
      <w:r w:rsidRPr="00481206">
        <w:rPr>
          <w:rFonts w:ascii="宋体" w:hAnsi="宋体" w:hint="eastAsia"/>
          <w:bCs/>
          <w:sz w:val="24"/>
        </w:rPr>
        <w:lastRenderedPageBreak/>
        <w:t>货合约，商品充其量是期货合约的标的物。</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（2）交易的目的不同。现货交易是一手交钱、一手交货的交易，而期货交易的目的不是活的实物，而是用来套期保值、风险管理或者获利等。</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（3）交易场所不同。现货交易一般没有固定的场所，比较分散，而期货交易一般在固定的场所内进行。</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（4）交易的方式不同。现货交易一般是一对一的，而期货交易是在公开的场所内进行交易，一对一交易视为违法。</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（5）商品范围不同。现货交易的商品范围比较宽泛，一切进入流通的商品均可交易，而期货交易的品种则比较有限，有时还有特殊的规定。</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（6）结算方式不同。现货交易一般都是货到款清，一般都是实物交割，而期货交易实行逐日结算制度，到期可以现金结算、平仓，也可以实物交割。</w:t>
      </w:r>
    </w:p>
    <w:p w:rsidR="00481206" w:rsidRPr="00481206" w:rsidRDefault="00481206" w:rsidP="00481206">
      <w:pPr>
        <w:spacing w:line="360" w:lineRule="auto"/>
        <w:rPr>
          <w:rFonts w:ascii="宋体" w:hAnsi="宋体"/>
          <w:bCs/>
          <w:sz w:val="24"/>
        </w:rPr>
      </w:pPr>
      <w:r w:rsidRPr="00481206">
        <w:rPr>
          <w:rFonts w:ascii="宋体" w:hAnsi="宋体" w:hint="eastAsia"/>
          <w:bCs/>
          <w:sz w:val="24"/>
        </w:rPr>
        <w:t>远期交易是指交易双方约定于未来某个日期以成交时所确定的价格，交割一定数量的某种金融商品的交易形式。</w:t>
      </w:r>
    </w:p>
    <w:p w:rsidR="00481206" w:rsidRPr="00481206" w:rsidRDefault="00481206" w:rsidP="00481206">
      <w:pPr>
        <w:spacing w:line="360" w:lineRule="auto"/>
        <w:ind w:firstLineChars="150" w:firstLine="360"/>
        <w:outlineLvl w:val="0"/>
        <w:rPr>
          <w:rFonts w:ascii="宋体" w:hAnsi="宋体"/>
          <w:bCs/>
          <w:sz w:val="24"/>
        </w:rPr>
      </w:pPr>
      <w:bookmarkStart w:id="299" w:name="_Toc444350175"/>
      <w:bookmarkStart w:id="300" w:name="_Toc474271650"/>
      <w:r w:rsidRPr="00481206">
        <w:rPr>
          <w:rFonts w:ascii="宋体" w:hAnsi="宋体" w:hint="eastAsia"/>
          <w:bCs/>
          <w:sz w:val="24"/>
        </w:rPr>
        <w:t>（三）金融期货的定义</w:t>
      </w:r>
      <w:bookmarkEnd w:id="299"/>
      <w:bookmarkEnd w:id="300"/>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一般来讲，金融期货和普通商品期货实际上并没有多少差别，它们在基本的交易规则、定价原理，以及具体的运用方面都有着相似之处，只是因为金融期货以金融工具为基本标的物，因此它们之间又有着原则上的区别。</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金融期货是指以各种金融商品或金融工具作为标的物的标准化期货合约的交易方式。这些标的物主要有债券、外汇、存款凭证、股票、股票指数等。</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金融期货和商品期货的区别</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sz w:val="24"/>
        </w:rPr>
        <w:t xml:space="preserve">1．金融期货没有实际的标的资产（如股指期货等），而商品期货交易的对象是具有实物形态的商品，例如，农产品、金属等。 </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sz w:val="24"/>
        </w:rPr>
        <w:t>2．金融期货的交割具有极大的便利性。商品期货的交割比较复杂，除了对交割时间、地点、交割方式都有严格的规定以外，对交割等级也要进行严格划分。而金融期货的交割一般采取现金结算，因此要简便得多。此外，即使有些金融期货(如外汇期货和债券期货</w:t>
      </w:r>
      <w:r w:rsidRPr="00481206">
        <w:rPr>
          <w:rFonts w:ascii="宋体" w:hAnsi="宋体" w:hint="eastAsia"/>
          <w:bCs/>
          <w:sz w:val="24"/>
        </w:rPr>
        <w:t>)</w:t>
      </w:r>
      <w:r w:rsidRPr="00481206">
        <w:rPr>
          <w:rFonts w:ascii="宋体" w:hAnsi="宋体"/>
          <w:bCs/>
          <w:sz w:val="24"/>
        </w:rPr>
        <w:t xml:space="preserve">发生实物交割，但由于这些产品具有同质性以及基本上不存在运输成本。 </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sz w:val="24"/>
        </w:rPr>
        <w:t xml:space="preserve"> 3．有些金融期货适用的到期日比商品期货要长，美国政府长期国库券的期货合约有效期限可长达数年。商品期货价格，尤其是农产品期货价格受季节性因素的影响非常明显。　</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sz w:val="24"/>
        </w:rPr>
        <w:t>4．持有成本不同。期货合约持有到期满日所需的成本费用即持有成本，包括三项：</w:t>
      </w:r>
      <w:r w:rsidRPr="00481206">
        <w:rPr>
          <w:rFonts w:ascii="宋体" w:hAnsi="宋体"/>
          <w:bCs/>
          <w:sz w:val="24"/>
        </w:rPr>
        <w:lastRenderedPageBreak/>
        <w:t>贮存成本、运输成本、融资成本。各种商品需要仓储存放，需要仓储费用，金融期货合约不需要贮存费用。如果金融期货的标的物存放在金融机构，则还有利息，例如，股票的股利、债券与外汇的利息等，有时这些利息会超出存放成本，产生持有收益（即负持有成本）</w:t>
      </w:r>
    </w:p>
    <w:p w:rsidR="00481206" w:rsidRPr="00481206" w:rsidRDefault="00481206" w:rsidP="00481206">
      <w:pPr>
        <w:spacing w:line="360" w:lineRule="auto"/>
        <w:ind w:left="525"/>
        <w:rPr>
          <w:rFonts w:ascii="宋体" w:hAnsi="宋体"/>
          <w:bCs/>
          <w:sz w:val="24"/>
        </w:rPr>
      </w:pPr>
      <w:r w:rsidRPr="00481206">
        <w:rPr>
          <w:rFonts w:ascii="宋体" w:hAnsi="宋体" w:hint="eastAsia"/>
          <w:bCs/>
          <w:sz w:val="24"/>
        </w:rPr>
        <w:t>二、金融期货的种类</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金融期货的迅速发展主要体现在三个方面：一是新品种的不断推出；二是交易场所的不断发展；三是成交量的不断放大。一般来讲，金融期货主要包括五大类，即货币期货、利率期货、股指期货、股票期货和互换期货，前三类期货是金融期货中最主要的，也就是存在时间最长的期货品种。</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（一）货币期货</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货币期货是指以各种可兑换的货币作为标的物的标准化期货合约的交易方式。该期货最早由芝加哥商业交易所的分部——国际货币市场推出，当时推出的时候由于各种标的物对美国来讲都是外汇，因此也叫做外汇期货。目前更普遍的被叫做“货币期货”。</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芝加哥商业交易所国际市场分部的外汇期货：</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4644"/>
        <w:gridCol w:w="4644"/>
      </w:tblGrid>
      <w:tr w:rsidR="00481206" w:rsidRPr="00481206" w:rsidTr="00CF0F4C">
        <w:tc>
          <w:tcPr>
            <w:tcW w:w="250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货币期货</w:t>
            </w:r>
          </w:p>
        </w:tc>
        <w:tc>
          <w:tcPr>
            <w:tcW w:w="250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合约规模</w:t>
            </w:r>
          </w:p>
        </w:tc>
      </w:tr>
      <w:tr w:rsidR="00481206" w:rsidRPr="00481206" w:rsidTr="00CF0F4C">
        <w:tc>
          <w:tcPr>
            <w:tcW w:w="250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英镑</w:t>
            </w:r>
          </w:p>
        </w:tc>
        <w:tc>
          <w:tcPr>
            <w:tcW w:w="250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62500镑</w:t>
            </w:r>
          </w:p>
        </w:tc>
      </w:tr>
      <w:tr w:rsidR="00481206" w:rsidRPr="00481206" w:rsidTr="00CF0F4C">
        <w:tc>
          <w:tcPr>
            <w:tcW w:w="250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澳元</w:t>
            </w:r>
          </w:p>
        </w:tc>
        <w:tc>
          <w:tcPr>
            <w:tcW w:w="250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100000元</w:t>
            </w:r>
          </w:p>
        </w:tc>
      </w:tr>
      <w:tr w:rsidR="00481206" w:rsidRPr="00481206" w:rsidTr="00CF0F4C">
        <w:tc>
          <w:tcPr>
            <w:tcW w:w="250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加元</w:t>
            </w:r>
          </w:p>
        </w:tc>
        <w:tc>
          <w:tcPr>
            <w:tcW w:w="250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100000元</w:t>
            </w:r>
          </w:p>
        </w:tc>
      </w:tr>
      <w:tr w:rsidR="00481206" w:rsidRPr="00481206" w:rsidTr="00CF0F4C">
        <w:tc>
          <w:tcPr>
            <w:tcW w:w="250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瑞士法郎</w:t>
            </w:r>
          </w:p>
        </w:tc>
        <w:tc>
          <w:tcPr>
            <w:tcW w:w="250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125000法郎</w:t>
            </w:r>
          </w:p>
        </w:tc>
      </w:tr>
      <w:tr w:rsidR="00481206" w:rsidRPr="00481206" w:rsidTr="00CF0F4C">
        <w:tc>
          <w:tcPr>
            <w:tcW w:w="250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德国马克</w:t>
            </w:r>
          </w:p>
        </w:tc>
        <w:tc>
          <w:tcPr>
            <w:tcW w:w="250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125000马克</w:t>
            </w:r>
          </w:p>
        </w:tc>
      </w:tr>
    </w:tbl>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（二）利率期货</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利率期货是以各种债务凭证为标的物的标准化期货合约的交易方式。该期货品种是金融期货中发展最快，也是目前成交量最大的一个类别。</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利率期货根据标的物的期限，可以划分为短期利率期货和长期利率期货两大类别。短期利率期货是指合约标的物的期限不超过一年的利率期货，而长期利率期货是指期货合约标的物的期限超过一年的利率期货。其中，最常见的短期利率期货就是欧洲美元期货以及国库券期货，最常见的长期利率期货是中、长期国债期货。</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芝加哥交易所（</w:t>
      </w:r>
      <w:r w:rsidRPr="00481206">
        <w:rPr>
          <w:rFonts w:ascii="宋体" w:hAnsi="宋体"/>
          <w:bCs/>
          <w:sz w:val="24"/>
        </w:rPr>
        <w:t>Chicago Board of Trade</w:t>
      </w:r>
      <w:r w:rsidRPr="00481206">
        <w:rPr>
          <w:rFonts w:ascii="宋体" w:hAnsi="宋体" w:hint="eastAsia"/>
          <w:bCs/>
          <w:sz w:val="24"/>
        </w:rPr>
        <w:t>）的利率期货</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5235"/>
        <w:gridCol w:w="4053"/>
      </w:tblGrid>
      <w:tr w:rsidR="00481206" w:rsidRPr="00481206" w:rsidTr="00CF0F4C">
        <w:tc>
          <w:tcPr>
            <w:tcW w:w="2818"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利率期货</w:t>
            </w:r>
          </w:p>
        </w:tc>
        <w:tc>
          <w:tcPr>
            <w:tcW w:w="2182"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合约规模</w:t>
            </w:r>
          </w:p>
        </w:tc>
      </w:tr>
      <w:tr w:rsidR="00481206" w:rsidRPr="00481206" w:rsidTr="00CF0F4C">
        <w:tc>
          <w:tcPr>
            <w:tcW w:w="2818"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国债期货</w:t>
            </w:r>
          </w:p>
        </w:tc>
        <w:tc>
          <w:tcPr>
            <w:tcW w:w="2182"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10万美元</w:t>
            </w:r>
          </w:p>
        </w:tc>
      </w:tr>
      <w:tr w:rsidR="00481206" w:rsidRPr="00481206" w:rsidTr="00CF0F4C">
        <w:tc>
          <w:tcPr>
            <w:tcW w:w="2818"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国库券期货</w:t>
            </w:r>
          </w:p>
        </w:tc>
        <w:tc>
          <w:tcPr>
            <w:tcW w:w="2182"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10万美元</w:t>
            </w:r>
          </w:p>
        </w:tc>
      </w:tr>
      <w:tr w:rsidR="00481206" w:rsidRPr="00481206" w:rsidTr="00CF0F4C">
        <w:tc>
          <w:tcPr>
            <w:tcW w:w="2818"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5年期国库券</w:t>
            </w:r>
          </w:p>
        </w:tc>
        <w:tc>
          <w:tcPr>
            <w:tcW w:w="2182"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10万美元</w:t>
            </w:r>
          </w:p>
        </w:tc>
      </w:tr>
    </w:tbl>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（三）股指期货</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lastRenderedPageBreak/>
        <w:t>股指期货是以某一股票市场的价格指数作为标的物的标准化期货合约的交易方式。由于作为标的物的股价指数并没有实物的存在形式，无法用于交割，因此在最后结算时，这种期货一般以现金结算代替实物交割。最早的股指期货产生于1982年美国堪萨斯交易所。（教材53页表2-7给出了全球主要的股指期货）</w:t>
      </w:r>
    </w:p>
    <w:p w:rsidR="00481206" w:rsidRPr="00481206" w:rsidRDefault="00481206" w:rsidP="00481206">
      <w:pPr>
        <w:spacing w:line="360" w:lineRule="auto"/>
        <w:ind w:firstLineChars="150" w:firstLine="360"/>
        <w:outlineLvl w:val="0"/>
        <w:rPr>
          <w:rFonts w:ascii="宋体" w:hAnsi="宋体"/>
          <w:bCs/>
          <w:sz w:val="24"/>
        </w:rPr>
      </w:pPr>
      <w:bookmarkStart w:id="301" w:name="_Toc444350176"/>
      <w:bookmarkStart w:id="302" w:name="_Toc474271651"/>
      <w:r w:rsidRPr="00481206">
        <w:rPr>
          <w:rFonts w:ascii="宋体" w:hAnsi="宋体" w:hint="eastAsia"/>
          <w:bCs/>
          <w:sz w:val="24"/>
        </w:rPr>
        <w:t>（四）股票期货</w:t>
      </w:r>
      <w:bookmarkEnd w:id="301"/>
      <w:bookmarkEnd w:id="302"/>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股票期货是以某种具体的股票作为标的物的期货合约的交易方式。最早的股票期货于20世纪80年代产生于英国，我国最早的股票期货于1995年产生于中国香港交易所。</w:t>
      </w:r>
    </w:p>
    <w:p w:rsidR="00481206" w:rsidRPr="00481206" w:rsidRDefault="00481206" w:rsidP="00481206">
      <w:pPr>
        <w:spacing w:line="360" w:lineRule="auto"/>
        <w:ind w:firstLineChars="150" w:firstLine="360"/>
        <w:outlineLvl w:val="0"/>
        <w:rPr>
          <w:rFonts w:ascii="宋体" w:hAnsi="宋体"/>
          <w:bCs/>
          <w:sz w:val="24"/>
        </w:rPr>
      </w:pPr>
      <w:bookmarkStart w:id="303" w:name="_Toc444350177"/>
      <w:bookmarkStart w:id="304" w:name="_Toc474271652"/>
      <w:r w:rsidRPr="00481206">
        <w:rPr>
          <w:rFonts w:ascii="宋体" w:hAnsi="宋体" w:hint="eastAsia"/>
          <w:bCs/>
          <w:sz w:val="24"/>
        </w:rPr>
        <w:t>（五）互换期货</w:t>
      </w:r>
      <w:bookmarkEnd w:id="303"/>
      <w:bookmarkEnd w:id="304"/>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 xml:space="preserve">互换期货是将利率互换协议作为期货合约的标的物，从而使互换和期货有机的结合起来。互换期货是一种传统的金融衍生工具，即期货合约和互换协议进行重新组合的金融衍生产品，属于结构化金融衍生产品的一种。其中比较典型的就是芝加哥期货交易所上市的5年期和10年期利率互换期货，实质上就是将利率互换协议作为期货合约的标的物。 </w:t>
      </w:r>
    </w:p>
    <w:p w:rsidR="00481206" w:rsidRPr="00481206" w:rsidRDefault="00481206" w:rsidP="00481206">
      <w:pPr>
        <w:numPr>
          <w:ilvl w:val="0"/>
          <w:numId w:val="3"/>
        </w:numPr>
        <w:tabs>
          <w:tab w:val="left" w:pos="420"/>
        </w:tabs>
        <w:spacing w:line="360" w:lineRule="auto"/>
        <w:ind w:left="840"/>
        <w:outlineLvl w:val="1"/>
        <w:rPr>
          <w:rFonts w:ascii="宋体" w:hAnsi="宋体" w:cs="宋体"/>
          <w:bCs/>
          <w:sz w:val="24"/>
        </w:rPr>
      </w:pPr>
      <w:bookmarkStart w:id="305" w:name="_Toc444350178"/>
      <w:bookmarkStart w:id="306" w:name="_Toc474271653"/>
      <w:r w:rsidRPr="00481206">
        <w:rPr>
          <w:rFonts w:ascii="宋体" w:hAnsi="宋体" w:cs="宋体" w:hint="eastAsia"/>
          <w:bCs/>
          <w:sz w:val="24"/>
        </w:rPr>
        <w:t>第3讲（共90分钟）</w:t>
      </w:r>
      <w:bookmarkEnd w:id="305"/>
      <w:bookmarkEnd w:id="306"/>
    </w:p>
    <w:p w:rsidR="00481206" w:rsidRPr="00481206" w:rsidRDefault="00481206" w:rsidP="00481206">
      <w:pPr>
        <w:jc w:val="center"/>
        <w:rPr>
          <w:rFonts w:ascii="宋体" w:hAnsi="宋体"/>
          <w:bCs/>
          <w:sz w:val="24"/>
        </w:rPr>
      </w:pPr>
      <w:r w:rsidRPr="00481206">
        <w:rPr>
          <w:rFonts w:ascii="宋体" w:hAnsi="宋体" w:hint="eastAsia"/>
          <w:bCs/>
          <w:sz w:val="24"/>
        </w:rPr>
        <w:t>第二节 金融期货的交易制度</w:t>
      </w:r>
    </w:p>
    <w:p w:rsidR="00481206" w:rsidRPr="00481206" w:rsidRDefault="00481206" w:rsidP="00481206">
      <w:pPr>
        <w:spacing w:line="360" w:lineRule="auto"/>
        <w:ind w:leftChars="150" w:left="315" w:firstLineChars="100" w:firstLine="240"/>
        <w:rPr>
          <w:rFonts w:ascii="宋体" w:hAnsi="宋体"/>
          <w:bCs/>
          <w:sz w:val="24"/>
        </w:rPr>
      </w:pPr>
      <w:r w:rsidRPr="00481206">
        <w:rPr>
          <w:rFonts w:ascii="宋体" w:hAnsi="宋体" w:hint="eastAsia"/>
          <w:bCs/>
          <w:sz w:val="24"/>
        </w:rPr>
        <w:t>一、金融期货合约的标准化条款</w:t>
      </w:r>
    </w:p>
    <w:p w:rsidR="00481206" w:rsidRPr="00481206" w:rsidRDefault="00481206" w:rsidP="00481206">
      <w:pPr>
        <w:spacing w:line="360" w:lineRule="auto"/>
        <w:ind w:firstLine="435"/>
        <w:rPr>
          <w:rFonts w:ascii="宋体" w:hAnsi="宋体"/>
          <w:bCs/>
          <w:sz w:val="24"/>
        </w:rPr>
      </w:pPr>
      <w:r w:rsidRPr="00481206">
        <w:rPr>
          <w:rFonts w:ascii="宋体" w:hAnsi="宋体" w:hint="eastAsia"/>
          <w:bCs/>
          <w:sz w:val="24"/>
        </w:rPr>
        <w:t>为了便于结算和交易，交易所在推出某种期货合约时都事先设计好该种合约的标准化条款。投资者只要在市场上买进或卖出一定数量的某种期货合约，就表示他愿意接受该合约所规定的所有标准化条款，而不必知道实际上的交易对手是谁。期货合约的标准化条款主要有如下几个方面：</w:t>
      </w:r>
    </w:p>
    <w:p w:rsidR="00481206" w:rsidRPr="00481206" w:rsidRDefault="00481206" w:rsidP="00481206">
      <w:pPr>
        <w:spacing w:line="360" w:lineRule="auto"/>
        <w:ind w:firstLineChars="150" w:firstLine="360"/>
        <w:outlineLvl w:val="0"/>
        <w:rPr>
          <w:rFonts w:ascii="宋体" w:hAnsi="宋体"/>
          <w:bCs/>
          <w:sz w:val="24"/>
        </w:rPr>
      </w:pPr>
      <w:bookmarkStart w:id="307" w:name="_Toc444350179"/>
      <w:bookmarkStart w:id="308" w:name="_Toc474271654"/>
      <w:r w:rsidRPr="00481206">
        <w:rPr>
          <w:rFonts w:ascii="宋体" w:hAnsi="宋体" w:hint="eastAsia"/>
          <w:bCs/>
          <w:sz w:val="24"/>
        </w:rPr>
        <w:t>（一）交易单位</w:t>
      </w:r>
      <w:bookmarkEnd w:id="307"/>
      <w:bookmarkEnd w:id="308"/>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也成为“合约规模”，是指交易所对每份期货合约规定的交易数量。</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货币期货的交易单位：例如：芝加哥商业交易所（CME）上市的英镑期货合约的交易单位是62500英镑；欧元期货合约的交易单位是125000单位。</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利率期货的交易单位：例如：芝加哥期货交易所上市的美国长期国债期货合约的交易单位是面值100000美元的美国长期公债券。</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股指期货的交易单位。由于股指期货其标的物本身并无实物的存在形式，而在到期时又采用现金交割的制度，因而其交易单位是标的物的指数点与某一固定金额的乘积，这一固定金额又叫做合约乘数。比如，CME上市的标准普尔500指数期货合约的交易单位是250美元与标准普尔500指数点的乘积；又如，大阪证券交易所上市的日经225期</w:t>
      </w:r>
      <w:r w:rsidRPr="00481206">
        <w:rPr>
          <w:rFonts w:ascii="宋体" w:hAnsi="宋体" w:hint="eastAsia"/>
          <w:bCs/>
          <w:sz w:val="24"/>
        </w:rPr>
        <w:lastRenderedPageBreak/>
        <w:t>货合约的交易单位是1000日元与日经225指数点的乘积。显然，股指期货的交易单位随着标的指数的变动而变动，不变的是合约乘数。</w:t>
      </w:r>
    </w:p>
    <w:p w:rsidR="00481206" w:rsidRPr="00481206" w:rsidRDefault="00481206" w:rsidP="00481206">
      <w:pPr>
        <w:spacing w:line="360" w:lineRule="auto"/>
        <w:ind w:firstLineChars="150" w:firstLine="360"/>
        <w:outlineLvl w:val="0"/>
        <w:rPr>
          <w:rFonts w:ascii="宋体" w:hAnsi="宋体"/>
          <w:bCs/>
          <w:sz w:val="24"/>
        </w:rPr>
      </w:pPr>
      <w:bookmarkStart w:id="309" w:name="_Toc444350180"/>
      <w:bookmarkStart w:id="310" w:name="_Toc474271655"/>
      <w:r w:rsidRPr="00481206">
        <w:rPr>
          <w:rFonts w:ascii="宋体" w:hAnsi="宋体" w:hint="eastAsia"/>
          <w:bCs/>
          <w:sz w:val="24"/>
        </w:rPr>
        <w:t>（二）报价方式</w:t>
      </w:r>
      <w:bookmarkEnd w:id="309"/>
      <w:bookmarkEnd w:id="310"/>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报价方式是指期货合约价格的表示方式。不同的期货合约有着不同的报价方式。</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货币期货的报价方式：为每一标的货币的结算货币数。比如：在伦敦国际金融期货和期权交易所上市的，以日元结算的美元期货合约规定，其报价方式为1美元合多少等值的日元。</w:t>
      </w:r>
    </w:p>
    <w:p w:rsidR="00481206" w:rsidRPr="00481206" w:rsidRDefault="00481206" w:rsidP="00481206">
      <w:pPr>
        <w:spacing w:line="360" w:lineRule="auto"/>
        <w:ind w:firstLineChars="150" w:firstLine="360"/>
        <w:outlineLvl w:val="0"/>
        <w:rPr>
          <w:rFonts w:ascii="宋体" w:hAnsi="宋体"/>
          <w:bCs/>
          <w:sz w:val="24"/>
        </w:rPr>
      </w:pPr>
      <w:bookmarkStart w:id="311" w:name="_Toc444350181"/>
      <w:bookmarkStart w:id="312" w:name="_Toc474271656"/>
      <w:r w:rsidRPr="00481206">
        <w:rPr>
          <w:rFonts w:ascii="宋体" w:hAnsi="宋体" w:hint="eastAsia"/>
          <w:bCs/>
          <w:sz w:val="24"/>
        </w:rPr>
        <w:t>（三）最小变动价位</w:t>
      </w:r>
      <w:bookmarkEnd w:id="311"/>
      <w:bookmarkEnd w:id="312"/>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最小变动价位是指期货交易中，价格每次变动的最小幅度，也称“刻度”。例如，根据CME规定，英镑期货的最小变动价位是每英镑0.0002美元（一般称为两个点，因为一个点等于每英镑0.0001美元），由于一张英镑期货合约的交易单位是62500英镑，因此对每一张合约而言，其最小变动价位是12.50美元。</w:t>
      </w:r>
    </w:p>
    <w:p w:rsidR="00481206" w:rsidRPr="00481206" w:rsidRDefault="00481206" w:rsidP="00481206">
      <w:pPr>
        <w:spacing w:line="360" w:lineRule="auto"/>
        <w:ind w:firstLineChars="150" w:firstLine="360"/>
        <w:outlineLvl w:val="0"/>
        <w:rPr>
          <w:rFonts w:ascii="宋体" w:hAnsi="宋体"/>
          <w:bCs/>
          <w:sz w:val="24"/>
        </w:rPr>
      </w:pPr>
      <w:bookmarkStart w:id="313" w:name="_Toc444350182"/>
      <w:bookmarkStart w:id="314" w:name="_Toc474271657"/>
      <w:r w:rsidRPr="00481206">
        <w:rPr>
          <w:rFonts w:ascii="宋体" w:hAnsi="宋体" w:hint="eastAsia"/>
          <w:bCs/>
          <w:sz w:val="24"/>
        </w:rPr>
        <w:t>（四）每日价格波动限制</w:t>
      </w:r>
      <w:bookmarkEnd w:id="313"/>
      <w:bookmarkEnd w:id="314"/>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每日价格波动限制，实际上就是人们通常所谓的涨跌停板制度，也就是说，在一个交易日中，当期货价格涨幅达到规定的最大幅度时就不能再涨，而当期货价格跌幅达到规定的最大幅度时也就不能再跌。在达到规定的最大涨幅或最大跌幅时，交易一般处于停止状态，投资者将等到下一个交易日再涨后卖出，或再跌后买进。类似股票市场中的涨跌停板制度。</w:t>
      </w:r>
    </w:p>
    <w:p w:rsidR="00481206" w:rsidRPr="00481206" w:rsidRDefault="00481206" w:rsidP="00481206">
      <w:pPr>
        <w:spacing w:line="360" w:lineRule="auto"/>
        <w:ind w:firstLineChars="150" w:firstLine="360"/>
        <w:outlineLvl w:val="0"/>
        <w:rPr>
          <w:rFonts w:ascii="宋体" w:hAnsi="宋体"/>
          <w:bCs/>
          <w:sz w:val="24"/>
        </w:rPr>
      </w:pPr>
      <w:bookmarkStart w:id="315" w:name="_Toc444350183"/>
      <w:bookmarkStart w:id="316" w:name="_Toc474271658"/>
      <w:r w:rsidRPr="00481206">
        <w:rPr>
          <w:rFonts w:ascii="宋体" w:hAnsi="宋体" w:hint="eastAsia"/>
          <w:bCs/>
          <w:sz w:val="24"/>
        </w:rPr>
        <w:t>（五）合约月份</w:t>
      </w:r>
      <w:bookmarkEnd w:id="315"/>
      <w:bookmarkEnd w:id="316"/>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合约月份是指期货合约到期交收的月份。一般而言，对于金融期货来讲，绝大多数合约的到期月份都是季末月份，即每年的3月、6月、9月和12月，或按季末月份循环若干个月份。比如，某投资者在某年4月投资一份货币期货，他可选择的货币期货合约的到期月份是当年的6月、9月、12月以及次年的3月、6月和9月。</w:t>
      </w:r>
    </w:p>
    <w:p w:rsidR="00481206" w:rsidRPr="00481206" w:rsidRDefault="00481206" w:rsidP="00481206">
      <w:pPr>
        <w:spacing w:line="360" w:lineRule="auto"/>
        <w:ind w:firstLineChars="150" w:firstLine="360"/>
        <w:outlineLvl w:val="0"/>
        <w:rPr>
          <w:rFonts w:ascii="宋体" w:hAnsi="宋体"/>
          <w:bCs/>
          <w:sz w:val="24"/>
        </w:rPr>
      </w:pPr>
      <w:bookmarkStart w:id="317" w:name="_Toc444350184"/>
      <w:bookmarkStart w:id="318" w:name="_Toc474271659"/>
      <w:r w:rsidRPr="00481206">
        <w:rPr>
          <w:rFonts w:ascii="宋体" w:hAnsi="宋体" w:hint="eastAsia"/>
          <w:bCs/>
          <w:sz w:val="24"/>
        </w:rPr>
        <w:t>（六）交易时间</w:t>
      </w:r>
      <w:bookmarkEnd w:id="317"/>
      <w:bookmarkEnd w:id="318"/>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交易时间是指由交易所规定的各种合约在每一交易日可以交易的某一具体时间。各个交易所对其上市的每种合约有明确的交易时间的规定。所以，不但不同的交易所有不同的交易时间，而且即使在同一交易所，不同的合约通常也有不同的交易时间。</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比如在中美洲商品交易所，美国国库券期货合约的交易时间为上午7点20至下午2点15，美国长期国债期货合约的交易时间为上午7点20到下午3点15。</w:t>
      </w:r>
    </w:p>
    <w:p w:rsidR="00481206" w:rsidRPr="00481206" w:rsidRDefault="00481206" w:rsidP="00481206">
      <w:pPr>
        <w:spacing w:line="360" w:lineRule="auto"/>
        <w:ind w:firstLineChars="150" w:firstLine="360"/>
        <w:outlineLvl w:val="0"/>
        <w:rPr>
          <w:rFonts w:ascii="宋体" w:hAnsi="宋体"/>
          <w:bCs/>
          <w:sz w:val="24"/>
        </w:rPr>
      </w:pPr>
      <w:bookmarkStart w:id="319" w:name="_Toc444350185"/>
      <w:bookmarkStart w:id="320" w:name="_Toc474271660"/>
      <w:r w:rsidRPr="00481206">
        <w:rPr>
          <w:rFonts w:ascii="宋体" w:hAnsi="宋体" w:hint="eastAsia"/>
          <w:bCs/>
          <w:sz w:val="24"/>
        </w:rPr>
        <w:t>（七）最后交易日</w:t>
      </w:r>
      <w:bookmarkEnd w:id="319"/>
      <w:bookmarkEnd w:id="320"/>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lastRenderedPageBreak/>
        <w:t xml:space="preserve"> 在期货交易中，绝大多数成交的合约都是通过反向交易而平仓的，但这种反向交易必须在规定的时间内进行。如果超过这一时间尚未平平仓，则必须进行实物交割或者现金结算，这一规定的时间就是最后交易日。</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对平仓的理解：平仓即原先买入期货者在期货到期时卖出期货，或原先卖出期货者在期货到期时买入期货。一般来讲，大部分期货投资者一般都在最后交易日结束之间择机选择将买入的期货合约卖出，或将卖出的期货合约买回，即通过一笔数量相等、方向相反的期货交易来冲销原有的期货合约，从此了解原有的期货合约，并解除到期进行实物交割的义务。这种买回已卖出合约，或卖出已买入合约的行为就叫做平仓。</w:t>
      </w:r>
    </w:p>
    <w:p w:rsidR="00481206" w:rsidRPr="00481206" w:rsidRDefault="00481206" w:rsidP="00481206">
      <w:pPr>
        <w:spacing w:line="360" w:lineRule="auto"/>
        <w:ind w:firstLineChars="150" w:firstLine="360"/>
        <w:outlineLvl w:val="0"/>
        <w:rPr>
          <w:rFonts w:ascii="宋体" w:hAnsi="宋体"/>
          <w:bCs/>
          <w:sz w:val="24"/>
        </w:rPr>
      </w:pPr>
      <w:bookmarkStart w:id="321" w:name="_Toc444350186"/>
      <w:bookmarkStart w:id="322" w:name="_Toc474271661"/>
      <w:r w:rsidRPr="00481206">
        <w:rPr>
          <w:rFonts w:ascii="宋体" w:hAnsi="宋体" w:hint="eastAsia"/>
          <w:bCs/>
          <w:sz w:val="24"/>
        </w:rPr>
        <w:t>（八）交割安排</w:t>
      </w:r>
      <w:bookmarkEnd w:id="321"/>
      <w:bookmarkEnd w:id="322"/>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各种期货合约都对交割作出具体的规定，这种规定包括交割的时间、交割的地点、交割的方式，以及用于交割的标的物的等级等。</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比如美国长期国债期货规定，标的物为标准化的息票利率为6%的美国长期公债券，期限为30年。</w:t>
      </w:r>
    </w:p>
    <w:p w:rsidR="00481206" w:rsidRPr="00481206" w:rsidRDefault="00481206" w:rsidP="00481206">
      <w:pPr>
        <w:spacing w:line="360" w:lineRule="auto"/>
        <w:ind w:firstLineChars="150" w:firstLine="360"/>
        <w:outlineLvl w:val="0"/>
        <w:rPr>
          <w:rFonts w:ascii="宋体" w:hAnsi="宋体"/>
          <w:bCs/>
          <w:sz w:val="24"/>
        </w:rPr>
      </w:pPr>
      <w:bookmarkStart w:id="323" w:name="_Toc444350187"/>
      <w:bookmarkStart w:id="324" w:name="_Toc474271662"/>
      <w:r w:rsidRPr="00481206">
        <w:rPr>
          <w:rFonts w:ascii="宋体" w:hAnsi="宋体" w:hint="eastAsia"/>
          <w:bCs/>
          <w:sz w:val="24"/>
        </w:rPr>
        <w:t>（九）部位限制</w:t>
      </w:r>
      <w:bookmarkEnd w:id="323"/>
      <w:bookmarkEnd w:id="324"/>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所谓“部位限制”，是指交易所规定的某一交易者在一定时间内可以持有的期货合约的最大数量，这种规定主要是针对投机者，因为是防止投机者承受过大的风险，或者对市场有着过大的操纵能力。</w:t>
      </w:r>
    </w:p>
    <w:p w:rsidR="00481206" w:rsidRPr="00481206" w:rsidRDefault="00481206" w:rsidP="00481206">
      <w:pPr>
        <w:spacing w:line="360" w:lineRule="auto"/>
        <w:ind w:leftChars="150" w:left="315" w:firstLineChars="100" w:firstLine="240"/>
        <w:rPr>
          <w:rFonts w:ascii="宋体" w:hAnsi="宋体"/>
          <w:bCs/>
          <w:sz w:val="24"/>
        </w:rPr>
      </w:pPr>
      <w:r w:rsidRPr="00481206">
        <w:rPr>
          <w:rFonts w:ascii="宋体" w:hAnsi="宋体" w:hint="eastAsia"/>
          <w:bCs/>
          <w:sz w:val="24"/>
        </w:rPr>
        <w:t>二、金融期货合约的保证金制度</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凡参与金融期货的交易者，无论是买方，还是卖方，都必须按照规定的比例向交易所或指定的结算单位缴纳保证金。金融期货中的保证金可分为初始保证金和维持保证金两种。</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初始保证金是指交易者在开始交易时，按规定比例存入其保证金账户的保证金。</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维持保证金是指交易所或经纪人规定的、交易者在其保证金账户中所必须保有的最低余额的保证金。</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当交易者按规定比率缴足初始保证金，并买进或卖出一定数量的某种金融期货合约以后，交易所得结算单位将在每天交易结束后，根据结算价格计算出每一交易者未平仓部位的盈亏余额，并增减其保证金账户的余额。若有盈利，使保证金账户的余额超过规定的初始保证金，则交易者可提取此盈余的部分，而若有亏损，使保证金账户的余额减少到维持保证金以下，则交易者必须按要求追加保证金，以使保证金账户的余额恢复到初始保证金的水平。否则，交易所或其结算单位将强行处置其未平仓部位，并将损失从</w:t>
      </w:r>
      <w:r w:rsidRPr="00481206">
        <w:rPr>
          <w:rFonts w:ascii="宋体" w:hAnsi="宋体" w:hint="eastAsia"/>
          <w:bCs/>
          <w:sz w:val="24"/>
        </w:rPr>
        <w:lastRenderedPageBreak/>
        <w:t>其保证金账户中扣除。</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在金融期货交易中，初始保证金与维持保证金的比例首先由交易所作出规定。其比例的高低将根据具体的期货品种、标的物价格的波动幅度，以及交易的性质而做出不同的规定。一般来讲，标的物的价格波动幅度越大，保证金的比例就越高。</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金融期货交易中的保证金与现货证券交易中的保证金的区别：</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第一，在现货证券交易中，只有买方缴纳保证金，而卖方则无需缴纳保证金；但在金融期货交易中，买卖双方都必须缴纳保证金；</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第二，在现货证券交易中，保证金是交易者向经纪人支付的定金；而在金融期货交易中，保证金只是交易双方确保履约的担保金，不是定金；</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第三，在现货证券交易中，保证金是交易者应付价款的一部分；而在金融期货交易中，保证金却不是价款的一部分，金融期货交易中的保证金只是交易双方缴纳的、用以确保履约，并承担价格风险的财力保证金。</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教材21页给出了芝加哥期货交易所主要利率期货的保证金。</w:t>
      </w:r>
    </w:p>
    <w:p w:rsidR="00481206" w:rsidRPr="00481206" w:rsidRDefault="00481206" w:rsidP="00481206">
      <w:pPr>
        <w:spacing w:line="360" w:lineRule="auto"/>
        <w:ind w:leftChars="150" w:left="315" w:firstLineChars="100" w:firstLine="240"/>
        <w:rPr>
          <w:rFonts w:ascii="宋体" w:hAnsi="宋体"/>
          <w:bCs/>
          <w:sz w:val="24"/>
        </w:rPr>
      </w:pPr>
      <w:r w:rsidRPr="00481206">
        <w:rPr>
          <w:rFonts w:ascii="宋体" w:hAnsi="宋体" w:hint="eastAsia"/>
          <w:bCs/>
          <w:sz w:val="24"/>
        </w:rPr>
        <w:t>三、金融期货合约的逐日结算制度</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般来讲，金融期货的交易并不是在成交后直至到期时才一次性交割或结算，金融期货交易实行的是逐日结算制度或无负债制度。所谓“逐日结算”，也称“逐日盯市”，是指在每个交易日结束后，交易所的结算单位将根据当日的结算价格与前一交易日的结算价格（或成交价格）的差异，计算未平仓部位的盈亏余额，并增加盈利方的保证金账户余额，同时减少亏损方的保证金账户余额。这种逐日结算一直进行到投资者平仓或合约到期为止。</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例题】假定某种股指期货的初始保证金为每合约2000美元，维持保证金为每合约1500美元。一投资者于某年8月1日以200点的价格买进上述期货合约2张，并于8月19日以197点的价格平仓。于是，其初始保证金总额为4000美元，维持保证金总额为3000美元。在逐日结算制度下，该投资者的保证金账户余额将随着期货市场价格的变动而变动，一旦因期货价格持续下降而导致该投资者严重亏损，从而使其保证金账户余额低于维持保证金总额（3000美元），则该投资者就必须追加保证金，以使保证金账户余额恢复到初始保证金总额（4000美元）。如果该股指期货的合约乘数为每指数点为500美元，则上述投资者的保证金账户状况如下表所示（单位：美元）：</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1426"/>
        <w:gridCol w:w="1357"/>
        <w:gridCol w:w="1356"/>
        <w:gridCol w:w="1356"/>
        <w:gridCol w:w="2166"/>
        <w:gridCol w:w="1627"/>
      </w:tblGrid>
      <w:tr w:rsidR="00481206" w:rsidRPr="00481206" w:rsidTr="00CF0F4C">
        <w:tc>
          <w:tcPr>
            <w:tcW w:w="7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交易日</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期货价格</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每日盈亏</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累积盈亏</w:t>
            </w:r>
          </w:p>
        </w:tc>
        <w:tc>
          <w:tcPr>
            <w:tcW w:w="116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保证金账户余额</w:t>
            </w:r>
          </w:p>
        </w:tc>
        <w:tc>
          <w:tcPr>
            <w:tcW w:w="87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追加保证金</w:t>
            </w:r>
          </w:p>
        </w:tc>
      </w:tr>
      <w:tr w:rsidR="00481206" w:rsidRPr="00481206" w:rsidTr="00CF0F4C">
        <w:tc>
          <w:tcPr>
            <w:tcW w:w="7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8月1日</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200</w:t>
            </w:r>
          </w:p>
        </w:tc>
        <w:tc>
          <w:tcPr>
            <w:tcW w:w="730" w:type="pct"/>
            <w:vAlign w:val="center"/>
          </w:tcPr>
          <w:p w:rsidR="00481206" w:rsidRPr="00481206" w:rsidRDefault="00481206" w:rsidP="00CF0F4C">
            <w:pPr>
              <w:jc w:val="center"/>
              <w:rPr>
                <w:rFonts w:ascii="宋体" w:hAnsi="宋体"/>
                <w:bCs/>
                <w:sz w:val="24"/>
              </w:rPr>
            </w:pPr>
          </w:p>
        </w:tc>
        <w:tc>
          <w:tcPr>
            <w:tcW w:w="730" w:type="pct"/>
            <w:vAlign w:val="center"/>
          </w:tcPr>
          <w:p w:rsidR="00481206" w:rsidRPr="00481206" w:rsidRDefault="00481206" w:rsidP="00CF0F4C">
            <w:pPr>
              <w:jc w:val="center"/>
              <w:rPr>
                <w:rFonts w:ascii="宋体" w:hAnsi="宋体"/>
                <w:bCs/>
                <w:sz w:val="24"/>
              </w:rPr>
            </w:pPr>
          </w:p>
        </w:tc>
        <w:tc>
          <w:tcPr>
            <w:tcW w:w="116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4000</w:t>
            </w:r>
          </w:p>
        </w:tc>
        <w:tc>
          <w:tcPr>
            <w:tcW w:w="876" w:type="pct"/>
            <w:vAlign w:val="center"/>
          </w:tcPr>
          <w:p w:rsidR="00481206" w:rsidRPr="00481206" w:rsidRDefault="00481206" w:rsidP="00CF0F4C">
            <w:pPr>
              <w:jc w:val="center"/>
              <w:rPr>
                <w:rFonts w:ascii="宋体" w:hAnsi="宋体"/>
                <w:bCs/>
                <w:sz w:val="24"/>
              </w:rPr>
            </w:pPr>
          </w:p>
        </w:tc>
      </w:tr>
      <w:tr w:rsidR="00481206" w:rsidRPr="00481206" w:rsidTr="00CF0F4C">
        <w:tc>
          <w:tcPr>
            <w:tcW w:w="7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lastRenderedPageBreak/>
              <w:t>8月2日</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201</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500</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500</w:t>
            </w:r>
          </w:p>
        </w:tc>
        <w:tc>
          <w:tcPr>
            <w:tcW w:w="116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4500</w:t>
            </w:r>
          </w:p>
        </w:tc>
        <w:tc>
          <w:tcPr>
            <w:tcW w:w="876" w:type="pct"/>
            <w:vAlign w:val="center"/>
          </w:tcPr>
          <w:p w:rsidR="00481206" w:rsidRPr="00481206" w:rsidRDefault="00481206" w:rsidP="00CF0F4C">
            <w:pPr>
              <w:jc w:val="center"/>
              <w:rPr>
                <w:rFonts w:ascii="宋体" w:hAnsi="宋体"/>
                <w:bCs/>
                <w:sz w:val="24"/>
              </w:rPr>
            </w:pPr>
          </w:p>
        </w:tc>
      </w:tr>
      <w:tr w:rsidR="00481206" w:rsidRPr="00481206" w:rsidTr="00CF0F4C">
        <w:tc>
          <w:tcPr>
            <w:tcW w:w="7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8月3日</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204</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1500</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2000</w:t>
            </w:r>
          </w:p>
        </w:tc>
        <w:tc>
          <w:tcPr>
            <w:tcW w:w="116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6000</w:t>
            </w:r>
          </w:p>
        </w:tc>
        <w:tc>
          <w:tcPr>
            <w:tcW w:w="876" w:type="pct"/>
            <w:vAlign w:val="center"/>
          </w:tcPr>
          <w:p w:rsidR="00481206" w:rsidRPr="00481206" w:rsidRDefault="00481206" w:rsidP="00CF0F4C">
            <w:pPr>
              <w:jc w:val="center"/>
              <w:rPr>
                <w:rFonts w:ascii="宋体" w:hAnsi="宋体"/>
                <w:bCs/>
                <w:sz w:val="24"/>
              </w:rPr>
            </w:pPr>
          </w:p>
        </w:tc>
      </w:tr>
      <w:tr w:rsidR="00481206" w:rsidRPr="00481206" w:rsidTr="00CF0F4C">
        <w:tc>
          <w:tcPr>
            <w:tcW w:w="7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8月4日</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201</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（1500）</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500</w:t>
            </w:r>
          </w:p>
        </w:tc>
        <w:tc>
          <w:tcPr>
            <w:tcW w:w="116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4500</w:t>
            </w:r>
          </w:p>
        </w:tc>
        <w:tc>
          <w:tcPr>
            <w:tcW w:w="876" w:type="pct"/>
            <w:vAlign w:val="center"/>
          </w:tcPr>
          <w:p w:rsidR="00481206" w:rsidRPr="00481206" w:rsidRDefault="00481206" w:rsidP="00CF0F4C">
            <w:pPr>
              <w:jc w:val="center"/>
              <w:rPr>
                <w:rFonts w:ascii="宋体" w:hAnsi="宋体"/>
                <w:bCs/>
                <w:sz w:val="24"/>
              </w:rPr>
            </w:pPr>
          </w:p>
        </w:tc>
      </w:tr>
      <w:tr w:rsidR="00481206" w:rsidRPr="00481206" w:rsidTr="00CF0F4C">
        <w:tc>
          <w:tcPr>
            <w:tcW w:w="7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8月5日</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198</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（1500）</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（1000）</w:t>
            </w:r>
          </w:p>
        </w:tc>
        <w:tc>
          <w:tcPr>
            <w:tcW w:w="116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3000</w:t>
            </w:r>
          </w:p>
        </w:tc>
        <w:tc>
          <w:tcPr>
            <w:tcW w:w="876" w:type="pct"/>
            <w:vAlign w:val="center"/>
          </w:tcPr>
          <w:p w:rsidR="00481206" w:rsidRPr="00481206" w:rsidRDefault="00481206" w:rsidP="00CF0F4C">
            <w:pPr>
              <w:jc w:val="center"/>
              <w:rPr>
                <w:rFonts w:ascii="宋体" w:hAnsi="宋体"/>
                <w:bCs/>
                <w:sz w:val="24"/>
              </w:rPr>
            </w:pPr>
          </w:p>
        </w:tc>
      </w:tr>
      <w:tr w:rsidR="00481206" w:rsidRPr="00481206" w:rsidTr="00CF0F4C">
        <w:tc>
          <w:tcPr>
            <w:tcW w:w="7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8月8日</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196</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（1000）</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（2000）</w:t>
            </w:r>
          </w:p>
        </w:tc>
        <w:tc>
          <w:tcPr>
            <w:tcW w:w="116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2000</w:t>
            </w:r>
          </w:p>
        </w:tc>
        <w:tc>
          <w:tcPr>
            <w:tcW w:w="87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2000</w:t>
            </w:r>
          </w:p>
        </w:tc>
      </w:tr>
      <w:tr w:rsidR="00481206" w:rsidRPr="00481206" w:rsidTr="00CF0F4C">
        <w:tc>
          <w:tcPr>
            <w:tcW w:w="7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8月9日</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197</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500</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（1500）</w:t>
            </w:r>
          </w:p>
        </w:tc>
        <w:tc>
          <w:tcPr>
            <w:tcW w:w="116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4500</w:t>
            </w:r>
          </w:p>
        </w:tc>
        <w:tc>
          <w:tcPr>
            <w:tcW w:w="876" w:type="pct"/>
            <w:vAlign w:val="center"/>
          </w:tcPr>
          <w:p w:rsidR="00481206" w:rsidRPr="00481206" w:rsidRDefault="00481206" w:rsidP="00CF0F4C">
            <w:pPr>
              <w:jc w:val="center"/>
              <w:rPr>
                <w:rFonts w:ascii="宋体" w:hAnsi="宋体"/>
                <w:bCs/>
                <w:sz w:val="24"/>
              </w:rPr>
            </w:pPr>
          </w:p>
        </w:tc>
      </w:tr>
      <w:tr w:rsidR="00481206" w:rsidRPr="00481206" w:rsidTr="00CF0F4C">
        <w:tc>
          <w:tcPr>
            <w:tcW w:w="7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8月10日</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195</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（1000）</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（2500）</w:t>
            </w:r>
          </w:p>
        </w:tc>
        <w:tc>
          <w:tcPr>
            <w:tcW w:w="116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3500</w:t>
            </w:r>
          </w:p>
        </w:tc>
        <w:tc>
          <w:tcPr>
            <w:tcW w:w="876" w:type="pct"/>
            <w:vAlign w:val="center"/>
          </w:tcPr>
          <w:p w:rsidR="00481206" w:rsidRPr="00481206" w:rsidRDefault="00481206" w:rsidP="00CF0F4C">
            <w:pPr>
              <w:jc w:val="center"/>
              <w:rPr>
                <w:rFonts w:ascii="宋体" w:hAnsi="宋体"/>
                <w:bCs/>
                <w:sz w:val="24"/>
              </w:rPr>
            </w:pPr>
          </w:p>
        </w:tc>
      </w:tr>
      <w:tr w:rsidR="00481206" w:rsidRPr="00481206" w:rsidTr="00CF0F4C">
        <w:tc>
          <w:tcPr>
            <w:tcW w:w="7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8月11日</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193</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（1000）</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（3500）</w:t>
            </w:r>
          </w:p>
        </w:tc>
        <w:tc>
          <w:tcPr>
            <w:tcW w:w="116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2500</w:t>
            </w:r>
          </w:p>
        </w:tc>
        <w:tc>
          <w:tcPr>
            <w:tcW w:w="87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1500</w:t>
            </w:r>
          </w:p>
        </w:tc>
      </w:tr>
      <w:tr w:rsidR="00481206" w:rsidRPr="00481206" w:rsidTr="00CF0F4C">
        <w:tc>
          <w:tcPr>
            <w:tcW w:w="7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8月12日</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194</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500</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（3000）</w:t>
            </w:r>
          </w:p>
        </w:tc>
        <w:tc>
          <w:tcPr>
            <w:tcW w:w="116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4500</w:t>
            </w:r>
          </w:p>
        </w:tc>
        <w:tc>
          <w:tcPr>
            <w:tcW w:w="876" w:type="pct"/>
            <w:vAlign w:val="center"/>
          </w:tcPr>
          <w:p w:rsidR="00481206" w:rsidRPr="00481206" w:rsidRDefault="00481206" w:rsidP="00CF0F4C">
            <w:pPr>
              <w:jc w:val="center"/>
              <w:rPr>
                <w:rFonts w:ascii="宋体" w:hAnsi="宋体"/>
                <w:bCs/>
                <w:sz w:val="24"/>
              </w:rPr>
            </w:pPr>
          </w:p>
        </w:tc>
      </w:tr>
      <w:tr w:rsidR="00481206" w:rsidRPr="00481206" w:rsidTr="00CF0F4C">
        <w:tc>
          <w:tcPr>
            <w:tcW w:w="7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8月15日</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198</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2000</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（1000）</w:t>
            </w:r>
          </w:p>
        </w:tc>
        <w:tc>
          <w:tcPr>
            <w:tcW w:w="116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6500</w:t>
            </w:r>
          </w:p>
        </w:tc>
        <w:tc>
          <w:tcPr>
            <w:tcW w:w="876" w:type="pct"/>
            <w:vAlign w:val="center"/>
          </w:tcPr>
          <w:p w:rsidR="00481206" w:rsidRPr="00481206" w:rsidRDefault="00481206" w:rsidP="00CF0F4C">
            <w:pPr>
              <w:jc w:val="center"/>
              <w:rPr>
                <w:rFonts w:ascii="宋体" w:hAnsi="宋体"/>
                <w:bCs/>
                <w:sz w:val="24"/>
              </w:rPr>
            </w:pPr>
          </w:p>
        </w:tc>
      </w:tr>
      <w:tr w:rsidR="00481206" w:rsidRPr="00481206" w:rsidTr="00CF0F4C">
        <w:tc>
          <w:tcPr>
            <w:tcW w:w="7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8月16日</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201</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1500</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500</w:t>
            </w:r>
          </w:p>
        </w:tc>
        <w:tc>
          <w:tcPr>
            <w:tcW w:w="116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8000</w:t>
            </w:r>
          </w:p>
        </w:tc>
        <w:tc>
          <w:tcPr>
            <w:tcW w:w="876" w:type="pct"/>
            <w:vAlign w:val="center"/>
          </w:tcPr>
          <w:p w:rsidR="00481206" w:rsidRPr="00481206" w:rsidRDefault="00481206" w:rsidP="00CF0F4C">
            <w:pPr>
              <w:jc w:val="center"/>
              <w:rPr>
                <w:rFonts w:ascii="宋体" w:hAnsi="宋体"/>
                <w:bCs/>
                <w:sz w:val="24"/>
              </w:rPr>
            </w:pPr>
          </w:p>
        </w:tc>
      </w:tr>
      <w:tr w:rsidR="00481206" w:rsidRPr="00481206" w:rsidTr="00CF0F4C">
        <w:tc>
          <w:tcPr>
            <w:tcW w:w="7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8月17日</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199</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（1000）</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（500）</w:t>
            </w:r>
          </w:p>
        </w:tc>
        <w:tc>
          <w:tcPr>
            <w:tcW w:w="116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7000</w:t>
            </w:r>
          </w:p>
        </w:tc>
        <w:tc>
          <w:tcPr>
            <w:tcW w:w="876" w:type="pct"/>
            <w:vAlign w:val="center"/>
          </w:tcPr>
          <w:p w:rsidR="00481206" w:rsidRPr="00481206" w:rsidRDefault="00481206" w:rsidP="00CF0F4C">
            <w:pPr>
              <w:jc w:val="center"/>
              <w:rPr>
                <w:rFonts w:ascii="宋体" w:hAnsi="宋体"/>
                <w:bCs/>
                <w:sz w:val="24"/>
              </w:rPr>
            </w:pPr>
          </w:p>
        </w:tc>
      </w:tr>
      <w:tr w:rsidR="00481206" w:rsidRPr="00481206" w:rsidTr="00CF0F4C">
        <w:tc>
          <w:tcPr>
            <w:tcW w:w="7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8月18日</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198</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（500）</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（1000）</w:t>
            </w:r>
          </w:p>
        </w:tc>
        <w:tc>
          <w:tcPr>
            <w:tcW w:w="116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6500</w:t>
            </w:r>
          </w:p>
        </w:tc>
        <w:tc>
          <w:tcPr>
            <w:tcW w:w="876" w:type="pct"/>
            <w:vAlign w:val="center"/>
          </w:tcPr>
          <w:p w:rsidR="00481206" w:rsidRPr="00481206" w:rsidRDefault="00481206" w:rsidP="00CF0F4C">
            <w:pPr>
              <w:jc w:val="center"/>
              <w:rPr>
                <w:rFonts w:ascii="宋体" w:hAnsi="宋体"/>
                <w:bCs/>
                <w:sz w:val="24"/>
              </w:rPr>
            </w:pPr>
          </w:p>
        </w:tc>
      </w:tr>
      <w:tr w:rsidR="00481206" w:rsidRPr="00481206" w:rsidTr="00CF0F4C">
        <w:tc>
          <w:tcPr>
            <w:tcW w:w="7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8月19日</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197</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（500）</w:t>
            </w:r>
          </w:p>
        </w:tc>
        <w:tc>
          <w:tcPr>
            <w:tcW w:w="730"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（1500）</w:t>
            </w:r>
          </w:p>
        </w:tc>
        <w:tc>
          <w:tcPr>
            <w:tcW w:w="116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6000</w:t>
            </w:r>
          </w:p>
        </w:tc>
        <w:tc>
          <w:tcPr>
            <w:tcW w:w="876" w:type="pct"/>
            <w:vAlign w:val="center"/>
          </w:tcPr>
          <w:p w:rsidR="00481206" w:rsidRPr="00481206" w:rsidRDefault="00481206" w:rsidP="00CF0F4C">
            <w:pPr>
              <w:jc w:val="center"/>
              <w:rPr>
                <w:rFonts w:ascii="宋体" w:hAnsi="宋体"/>
                <w:bCs/>
                <w:sz w:val="24"/>
              </w:rPr>
            </w:pPr>
          </w:p>
        </w:tc>
      </w:tr>
    </w:tbl>
    <w:p w:rsidR="00481206" w:rsidRPr="00481206" w:rsidRDefault="00481206" w:rsidP="00481206">
      <w:pPr>
        <w:rPr>
          <w:rFonts w:ascii="宋体" w:hAnsi="宋体"/>
          <w:bCs/>
          <w:sz w:val="24"/>
        </w:rPr>
      </w:pP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四、金融期货交易的定单</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金融期货交易实行的是集中性的场内交易形式。非会员的交易者如果想买进或卖出一定数量的某种金融期货合约，就必须向经纪人下达交易的指令，而经纪人再将此指令传递给交易所的交易员，然后由交易员进行撮合成交。在这一过程中，交易者向经纪人下达的买进或卖出一定数量的某种金融期货合约的指令，就是所谓的“定单”。</w:t>
      </w:r>
    </w:p>
    <w:p w:rsidR="00481206" w:rsidRPr="00481206" w:rsidRDefault="00481206" w:rsidP="00481206">
      <w:pPr>
        <w:spacing w:line="360" w:lineRule="auto"/>
        <w:ind w:firstLineChars="150" w:firstLine="360"/>
        <w:outlineLvl w:val="0"/>
        <w:rPr>
          <w:rFonts w:ascii="宋体" w:hAnsi="宋体"/>
          <w:bCs/>
          <w:sz w:val="24"/>
        </w:rPr>
      </w:pPr>
      <w:bookmarkStart w:id="325" w:name="_Toc444350188"/>
      <w:bookmarkStart w:id="326" w:name="_Toc474271663"/>
      <w:r w:rsidRPr="00481206">
        <w:rPr>
          <w:rFonts w:ascii="宋体" w:hAnsi="宋体" w:hint="eastAsia"/>
          <w:bCs/>
          <w:sz w:val="24"/>
        </w:rPr>
        <w:t>（一）市价定单</w:t>
      </w:r>
      <w:bookmarkEnd w:id="325"/>
      <w:bookmarkEnd w:id="326"/>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市价订单就是指不限定成交价格的订单。经纪人接到此种定单后可依照当时最有利的市场价格立刻成交。这种定单并不规定具体的成交价格，只规定交易的数量。</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我们以股票交易为例来说明市价委托：</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2734"/>
        <w:gridCol w:w="3277"/>
        <w:gridCol w:w="3277"/>
      </w:tblGrid>
      <w:tr w:rsidR="00481206" w:rsidRPr="00481206" w:rsidTr="00CF0F4C">
        <w:tc>
          <w:tcPr>
            <w:tcW w:w="1472"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买卖方向</w:t>
            </w:r>
          </w:p>
        </w:tc>
        <w:tc>
          <w:tcPr>
            <w:tcW w:w="17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价格（元）</w:t>
            </w:r>
          </w:p>
        </w:tc>
        <w:tc>
          <w:tcPr>
            <w:tcW w:w="17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数量（股）</w:t>
            </w:r>
          </w:p>
        </w:tc>
      </w:tr>
      <w:tr w:rsidR="00481206" w:rsidRPr="00481206" w:rsidTr="00CF0F4C">
        <w:tc>
          <w:tcPr>
            <w:tcW w:w="1472" w:type="pct"/>
            <w:vMerge w:val="restar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卖出申报</w:t>
            </w:r>
          </w:p>
        </w:tc>
        <w:tc>
          <w:tcPr>
            <w:tcW w:w="17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15.37</w:t>
            </w:r>
          </w:p>
        </w:tc>
        <w:tc>
          <w:tcPr>
            <w:tcW w:w="17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100</w:t>
            </w:r>
          </w:p>
        </w:tc>
      </w:tr>
      <w:tr w:rsidR="00481206" w:rsidRPr="00481206" w:rsidTr="00CF0F4C">
        <w:tc>
          <w:tcPr>
            <w:tcW w:w="1472" w:type="pct"/>
            <w:vMerge/>
            <w:vAlign w:val="center"/>
          </w:tcPr>
          <w:p w:rsidR="00481206" w:rsidRPr="00481206" w:rsidRDefault="00481206" w:rsidP="00CF0F4C">
            <w:pPr>
              <w:jc w:val="center"/>
              <w:rPr>
                <w:rFonts w:ascii="宋体" w:hAnsi="宋体"/>
                <w:bCs/>
                <w:sz w:val="24"/>
              </w:rPr>
            </w:pPr>
          </w:p>
        </w:tc>
        <w:tc>
          <w:tcPr>
            <w:tcW w:w="17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15.36</w:t>
            </w:r>
          </w:p>
        </w:tc>
        <w:tc>
          <w:tcPr>
            <w:tcW w:w="17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100</w:t>
            </w:r>
          </w:p>
        </w:tc>
      </w:tr>
      <w:tr w:rsidR="00481206" w:rsidRPr="00481206" w:rsidTr="00CF0F4C">
        <w:tc>
          <w:tcPr>
            <w:tcW w:w="1472" w:type="pct"/>
            <w:vMerge/>
            <w:vAlign w:val="center"/>
          </w:tcPr>
          <w:p w:rsidR="00481206" w:rsidRPr="00481206" w:rsidRDefault="00481206" w:rsidP="00CF0F4C">
            <w:pPr>
              <w:jc w:val="center"/>
              <w:rPr>
                <w:rFonts w:ascii="宋体" w:hAnsi="宋体"/>
                <w:bCs/>
                <w:sz w:val="24"/>
              </w:rPr>
            </w:pPr>
          </w:p>
        </w:tc>
        <w:tc>
          <w:tcPr>
            <w:tcW w:w="17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15.35</w:t>
            </w:r>
          </w:p>
        </w:tc>
        <w:tc>
          <w:tcPr>
            <w:tcW w:w="17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100</w:t>
            </w:r>
          </w:p>
        </w:tc>
      </w:tr>
      <w:tr w:rsidR="00481206" w:rsidRPr="00481206" w:rsidTr="00CF0F4C">
        <w:tc>
          <w:tcPr>
            <w:tcW w:w="1472" w:type="pct"/>
            <w:vMerge w:val="restar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买入申报</w:t>
            </w:r>
          </w:p>
        </w:tc>
        <w:tc>
          <w:tcPr>
            <w:tcW w:w="17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15.34</w:t>
            </w:r>
          </w:p>
        </w:tc>
        <w:tc>
          <w:tcPr>
            <w:tcW w:w="17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100</w:t>
            </w:r>
          </w:p>
        </w:tc>
      </w:tr>
      <w:tr w:rsidR="00481206" w:rsidRPr="00481206" w:rsidTr="00CF0F4C">
        <w:tc>
          <w:tcPr>
            <w:tcW w:w="1472" w:type="pct"/>
            <w:vMerge/>
            <w:vAlign w:val="center"/>
          </w:tcPr>
          <w:p w:rsidR="00481206" w:rsidRPr="00481206" w:rsidRDefault="00481206" w:rsidP="00CF0F4C">
            <w:pPr>
              <w:jc w:val="center"/>
              <w:rPr>
                <w:rFonts w:ascii="宋体" w:hAnsi="宋体"/>
                <w:bCs/>
                <w:sz w:val="24"/>
              </w:rPr>
            </w:pPr>
          </w:p>
        </w:tc>
        <w:tc>
          <w:tcPr>
            <w:tcW w:w="17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15.33</w:t>
            </w:r>
          </w:p>
        </w:tc>
        <w:tc>
          <w:tcPr>
            <w:tcW w:w="17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100</w:t>
            </w:r>
          </w:p>
        </w:tc>
      </w:tr>
      <w:tr w:rsidR="00481206" w:rsidRPr="00481206" w:rsidTr="00CF0F4C">
        <w:tc>
          <w:tcPr>
            <w:tcW w:w="1472" w:type="pct"/>
            <w:vMerge/>
            <w:vAlign w:val="center"/>
          </w:tcPr>
          <w:p w:rsidR="00481206" w:rsidRPr="00481206" w:rsidRDefault="00481206" w:rsidP="00CF0F4C">
            <w:pPr>
              <w:jc w:val="center"/>
              <w:rPr>
                <w:rFonts w:ascii="宋体" w:hAnsi="宋体"/>
                <w:bCs/>
                <w:sz w:val="24"/>
              </w:rPr>
            </w:pPr>
          </w:p>
        </w:tc>
        <w:tc>
          <w:tcPr>
            <w:tcW w:w="17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15.32</w:t>
            </w:r>
          </w:p>
        </w:tc>
        <w:tc>
          <w:tcPr>
            <w:tcW w:w="1764"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100</w:t>
            </w:r>
          </w:p>
        </w:tc>
      </w:tr>
    </w:tbl>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若此时有一笔买入定单，定单要求进行市价交易，因此最后的成交价格是15.35元（最有利的市场价格）。</w:t>
      </w:r>
    </w:p>
    <w:p w:rsidR="00481206" w:rsidRPr="00481206" w:rsidRDefault="00481206" w:rsidP="00481206">
      <w:pPr>
        <w:spacing w:line="360" w:lineRule="auto"/>
        <w:ind w:firstLineChars="150" w:firstLine="360"/>
        <w:outlineLvl w:val="0"/>
        <w:rPr>
          <w:rFonts w:ascii="宋体" w:hAnsi="宋体"/>
          <w:bCs/>
          <w:sz w:val="24"/>
        </w:rPr>
      </w:pPr>
      <w:bookmarkStart w:id="327" w:name="_Toc444350189"/>
      <w:bookmarkStart w:id="328" w:name="_Toc474271664"/>
      <w:r w:rsidRPr="00481206">
        <w:rPr>
          <w:rFonts w:ascii="宋体" w:hAnsi="宋体" w:hint="eastAsia"/>
          <w:bCs/>
          <w:sz w:val="24"/>
        </w:rPr>
        <w:t>（二）限价定单</w:t>
      </w:r>
      <w:bookmarkEnd w:id="327"/>
      <w:bookmarkEnd w:id="328"/>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限价定单是指将成交价格限定于交易者可接受的或更好的价格的定单。一般地说，交易者在下达买进的限价定单时，其限定的价格会低于当时的市场价格；而交易者在下</w:t>
      </w:r>
      <w:r w:rsidRPr="00481206">
        <w:rPr>
          <w:rFonts w:ascii="宋体" w:hAnsi="宋体" w:hint="eastAsia"/>
          <w:bCs/>
          <w:sz w:val="24"/>
        </w:rPr>
        <w:lastRenderedPageBreak/>
        <w:t>达卖出的限价定单时，其限定的价格会高于当时的市场价格。这种定单的优点是交易者可将成交价格控制在自己可接受的范围内，但缺点是较难成交。</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sz w:val="24"/>
        </w:rPr>
        <w:t>例如，客户希望在30元买进B公司的股票，而现行价格是33元，则即使股价跌到30.1元，经纪人也不会执行此项委托。反之，如果客户希望在33元出售该股票，而现行价格是30元，则经纪人一定会等到股价到达33元时才进场</w:t>
      </w:r>
      <w:r w:rsidRPr="00481206">
        <w:rPr>
          <w:rFonts w:ascii="宋体" w:hAnsi="宋体" w:hint="eastAsia"/>
          <w:bCs/>
          <w:sz w:val="24"/>
        </w:rPr>
        <w:t>卖出</w:t>
      </w:r>
      <w:r w:rsidRPr="00481206">
        <w:rPr>
          <w:rFonts w:ascii="宋体" w:hAnsi="宋体"/>
          <w:bCs/>
          <w:sz w:val="24"/>
        </w:rPr>
        <w:t>。</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（三）停损订单</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停损定单，是指交易者将其可能发生的损失控制在一定的水平，以避免进一步损失的定单。这种定单也设有某一特定价格，一旦市场价格上升或下降到这一价格时，该定单就立刻自动地转化为市价定单。一般来讲，买入定单的设定价格稍高于现行的市场价格，而卖出定单的设定价格稍低于现行的市场价格。只要市场价格达到停损定单所设定的价格时，经纪人就立刻以当时的市场价格成交，以免客户免受进一步的损失。</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若现在大豆合约的市价为530（5.33美元），一份以533（5.33美元）购买3份九月大豆合约的停损定单意味着，若上涨到每蒲式耳5.33美元，则经纪人就以5.33美元购进3份合约，以免价格再次上涨造成投资者的成本上升。</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注意：停损限价定单——这种定单设定两个价格：一个是停损价格；另一个是限定成交价格。一般来讲，买入定单的限定成交价格高于停损价格，卖出定单的限定成交价格低于停损价格，当市场价格上升或下跌到所设定的停损价格时，经纪人就只能以低于或等于限定成交价格的价格买入，或以高于或等于限定成交价格的价格卖出。简言之，当市场价格上升或下跌到停损价格时，该定单就自动转化为限价定单，可见，停损限价定单实际上是停损定单与限价定单的混合型定单。</w:t>
      </w:r>
    </w:p>
    <w:p w:rsidR="00481206" w:rsidRPr="00481206" w:rsidRDefault="00481206" w:rsidP="00481206">
      <w:pPr>
        <w:spacing w:line="360" w:lineRule="auto"/>
        <w:ind w:firstLineChars="150" w:firstLine="360"/>
        <w:outlineLvl w:val="0"/>
        <w:rPr>
          <w:rFonts w:ascii="宋体" w:hAnsi="宋体"/>
          <w:bCs/>
          <w:sz w:val="24"/>
        </w:rPr>
      </w:pPr>
      <w:bookmarkStart w:id="329" w:name="_Toc444350190"/>
      <w:bookmarkStart w:id="330" w:name="_Toc474271665"/>
      <w:r w:rsidRPr="00481206">
        <w:rPr>
          <w:rFonts w:ascii="宋体" w:hAnsi="宋体" w:hint="eastAsia"/>
          <w:bCs/>
          <w:sz w:val="24"/>
        </w:rPr>
        <w:t>（四）到价转市价定单</w:t>
      </w:r>
      <w:bookmarkEnd w:id="329"/>
      <w:bookmarkEnd w:id="330"/>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该定单的性质与停损定单相似，但两者所设定的价格与市场价格的关系正好相反。也就是说，到价转市价定单在买入时设定的价格低于当时的市场价格，而在卖出时设定的价格高于当时的市场价格。当市场价格上升或下跌到该定单所设定的价格时，它就自动地转化为市价定单。注意和限价定单的区别。</w:t>
      </w:r>
    </w:p>
    <w:p w:rsidR="00481206" w:rsidRPr="00481206" w:rsidRDefault="00481206" w:rsidP="00481206">
      <w:pPr>
        <w:numPr>
          <w:ilvl w:val="0"/>
          <w:numId w:val="3"/>
        </w:numPr>
        <w:tabs>
          <w:tab w:val="left" w:pos="420"/>
        </w:tabs>
        <w:spacing w:line="360" w:lineRule="auto"/>
        <w:ind w:left="840"/>
        <w:outlineLvl w:val="1"/>
        <w:rPr>
          <w:rFonts w:ascii="宋体" w:hAnsi="宋体" w:cs="宋体"/>
          <w:bCs/>
          <w:sz w:val="24"/>
        </w:rPr>
      </w:pPr>
      <w:bookmarkStart w:id="331" w:name="_Toc444350191"/>
      <w:bookmarkStart w:id="332" w:name="_Toc474271666"/>
      <w:r w:rsidRPr="00481206">
        <w:rPr>
          <w:rFonts w:ascii="宋体" w:hAnsi="宋体" w:cs="宋体" w:hint="eastAsia"/>
          <w:bCs/>
          <w:sz w:val="24"/>
        </w:rPr>
        <w:t>第4讲（共90分钟）</w:t>
      </w:r>
      <w:bookmarkEnd w:id="331"/>
      <w:bookmarkEnd w:id="332"/>
    </w:p>
    <w:p w:rsidR="00481206" w:rsidRPr="00481206" w:rsidRDefault="00481206" w:rsidP="00481206">
      <w:pPr>
        <w:jc w:val="center"/>
        <w:rPr>
          <w:rFonts w:ascii="宋体" w:hAnsi="宋体"/>
          <w:bCs/>
          <w:sz w:val="24"/>
        </w:rPr>
      </w:pPr>
      <w:r w:rsidRPr="00481206">
        <w:rPr>
          <w:rFonts w:ascii="宋体" w:hAnsi="宋体" w:hint="eastAsia"/>
          <w:bCs/>
          <w:sz w:val="24"/>
        </w:rPr>
        <w:t>第三节 金融期货交易与远期交易</w:t>
      </w:r>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远期交易是指交易双方约定于未来某个日期以成交时所确定的价格，交割一定数量的某种金融商品的交易形式。远期交易与期货交易有一定的相似性，都有着先成交、后交割的特点。它们的区别如下：</w:t>
      </w:r>
    </w:p>
    <w:p w:rsidR="00481206" w:rsidRPr="00481206" w:rsidRDefault="00481206" w:rsidP="00481206">
      <w:pPr>
        <w:jc w:val="center"/>
        <w:rPr>
          <w:rFonts w:ascii="宋体" w:hAnsi="宋体"/>
          <w:bCs/>
          <w:sz w:val="24"/>
        </w:rPr>
      </w:pPr>
      <w:r w:rsidRPr="00481206">
        <w:rPr>
          <w:rFonts w:ascii="宋体" w:hAnsi="宋体" w:hint="eastAsia"/>
          <w:bCs/>
          <w:sz w:val="24"/>
        </w:rPr>
        <w:lastRenderedPageBreak/>
        <w:t>下表显示了期货交易与远期交易的主要区别</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2068"/>
        <w:gridCol w:w="3782"/>
        <w:gridCol w:w="3438"/>
      </w:tblGrid>
      <w:tr w:rsidR="00481206" w:rsidRPr="00481206" w:rsidTr="00CF0F4C">
        <w:tc>
          <w:tcPr>
            <w:tcW w:w="1113" w:type="pct"/>
            <w:vAlign w:val="center"/>
          </w:tcPr>
          <w:p w:rsidR="00481206" w:rsidRPr="00481206" w:rsidRDefault="00481206" w:rsidP="00CF0F4C">
            <w:pPr>
              <w:jc w:val="center"/>
              <w:rPr>
                <w:rFonts w:ascii="宋体" w:hAnsi="宋体"/>
                <w:bCs/>
                <w:sz w:val="24"/>
              </w:rPr>
            </w:pPr>
          </w:p>
        </w:tc>
        <w:tc>
          <w:tcPr>
            <w:tcW w:w="20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期货交易</w:t>
            </w:r>
          </w:p>
        </w:tc>
        <w:tc>
          <w:tcPr>
            <w:tcW w:w="1851"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远期交易</w:t>
            </w:r>
          </w:p>
        </w:tc>
      </w:tr>
      <w:tr w:rsidR="00481206" w:rsidRPr="00481206" w:rsidTr="00CF0F4C">
        <w:tc>
          <w:tcPr>
            <w:tcW w:w="1113"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交易的数量</w:t>
            </w:r>
          </w:p>
        </w:tc>
        <w:tc>
          <w:tcPr>
            <w:tcW w:w="20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标准化</w:t>
            </w:r>
          </w:p>
        </w:tc>
        <w:tc>
          <w:tcPr>
            <w:tcW w:w="1851"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自由协定</w:t>
            </w:r>
          </w:p>
        </w:tc>
      </w:tr>
      <w:tr w:rsidR="00481206" w:rsidRPr="00481206" w:rsidTr="00CF0F4C">
        <w:tc>
          <w:tcPr>
            <w:tcW w:w="1113"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交割的日期</w:t>
            </w:r>
          </w:p>
        </w:tc>
        <w:tc>
          <w:tcPr>
            <w:tcW w:w="20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标准化</w:t>
            </w:r>
          </w:p>
        </w:tc>
        <w:tc>
          <w:tcPr>
            <w:tcW w:w="1851"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自由协定</w:t>
            </w:r>
          </w:p>
        </w:tc>
      </w:tr>
      <w:tr w:rsidR="00481206" w:rsidRPr="00481206" w:rsidTr="00CF0F4C">
        <w:tc>
          <w:tcPr>
            <w:tcW w:w="1113"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交易的方式</w:t>
            </w:r>
          </w:p>
        </w:tc>
        <w:tc>
          <w:tcPr>
            <w:tcW w:w="20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场内交易</w:t>
            </w:r>
          </w:p>
        </w:tc>
        <w:tc>
          <w:tcPr>
            <w:tcW w:w="1851"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场外交易</w:t>
            </w:r>
          </w:p>
        </w:tc>
      </w:tr>
      <w:tr w:rsidR="00481206" w:rsidRPr="00481206" w:rsidTr="00CF0F4C">
        <w:tc>
          <w:tcPr>
            <w:tcW w:w="1113"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履约保证</w:t>
            </w:r>
          </w:p>
        </w:tc>
        <w:tc>
          <w:tcPr>
            <w:tcW w:w="20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双方均须缴纳保证金</w:t>
            </w:r>
          </w:p>
        </w:tc>
        <w:tc>
          <w:tcPr>
            <w:tcW w:w="1851"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信用</w:t>
            </w:r>
          </w:p>
        </w:tc>
      </w:tr>
      <w:tr w:rsidR="00481206" w:rsidRPr="00481206" w:rsidTr="00CF0F4C">
        <w:tc>
          <w:tcPr>
            <w:tcW w:w="1113"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结算业务</w:t>
            </w:r>
          </w:p>
        </w:tc>
        <w:tc>
          <w:tcPr>
            <w:tcW w:w="20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由专门的清算所结算</w:t>
            </w:r>
          </w:p>
        </w:tc>
        <w:tc>
          <w:tcPr>
            <w:tcW w:w="1851"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交易双方直接结算</w:t>
            </w:r>
          </w:p>
        </w:tc>
      </w:tr>
      <w:tr w:rsidR="00481206" w:rsidRPr="00481206" w:rsidTr="00CF0F4C">
        <w:tc>
          <w:tcPr>
            <w:tcW w:w="1113"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承担的风险</w:t>
            </w:r>
          </w:p>
        </w:tc>
        <w:tc>
          <w:tcPr>
            <w:tcW w:w="20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价格风险</w:t>
            </w:r>
          </w:p>
        </w:tc>
        <w:tc>
          <w:tcPr>
            <w:tcW w:w="1851"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价格风险和信用风险</w:t>
            </w:r>
          </w:p>
        </w:tc>
      </w:tr>
      <w:tr w:rsidR="00481206" w:rsidRPr="00481206" w:rsidTr="00CF0F4C">
        <w:tc>
          <w:tcPr>
            <w:tcW w:w="1113"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实际交割率</w:t>
            </w:r>
          </w:p>
        </w:tc>
        <w:tc>
          <w:tcPr>
            <w:tcW w:w="20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1%-2%</w:t>
            </w:r>
          </w:p>
        </w:tc>
        <w:tc>
          <w:tcPr>
            <w:tcW w:w="1851"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90%</w:t>
            </w:r>
          </w:p>
        </w:tc>
      </w:tr>
      <w:tr w:rsidR="00481206" w:rsidRPr="00481206" w:rsidTr="00CF0F4C">
        <w:tc>
          <w:tcPr>
            <w:tcW w:w="1113"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价格决定</w:t>
            </w:r>
          </w:p>
        </w:tc>
        <w:tc>
          <w:tcPr>
            <w:tcW w:w="20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公开竞价</w:t>
            </w:r>
          </w:p>
        </w:tc>
        <w:tc>
          <w:tcPr>
            <w:tcW w:w="1851"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由银行报价</w:t>
            </w:r>
          </w:p>
        </w:tc>
      </w:tr>
      <w:tr w:rsidR="00481206" w:rsidRPr="00481206" w:rsidTr="00CF0F4C">
        <w:tc>
          <w:tcPr>
            <w:tcW w:w="1113"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现金流动</w:t>
            </w:r>
          </w:p>
        </w:tc>
        <w:tc>
          <w:tcPr>
            <w:tcW w:w="203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每天发生（逐日盯市）</w:t>
            </w:r>
          </w:p>
        </w:tc>
        <w:tc>
          <w:tcPr>
            <w:tcW w:w="1851"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到期日发生</w:t>
            </w:r>
          </w:p>
        </w:tc>
      </w:tr>
    </w:tbl>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两者的差别主要体现在如下几个方面：</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一、交易场所不同</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远期交易一般都是在场外市场进行，双方主要是通过电话、电报成交，或直接通过柜台交易成交。而期货交易则一般都是场内交易，双方都必须在正规的交易所内进行集中交易。</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二、履约保证不同</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期货交易实行的是保证金制度，交易双方都必须按照规定的比率缴纳保证金。交易所和经纪人正是依靠这种保证金来确保交易双方履约的。而远期交易不实行保证金制度，其履约的保证只是客户的信用。因此，在期货交易中，只要缴纳保证金，任何人都可以参与交易，但在远期交易中，只有那些信用等级较高的大机构才可以参与。</w:t>
      </w:r>
    </w:p>
    <w:p w:rsidR="00481206" w:rsidRPr="00481206" w:rsidRDefault="00481206" w:rsidP="00481206">
      <w:pPr>
        <w:spacing w:line="360" w:lineRule="auto"/>
        <w:ind w:leftChars="150" w:left="315" w:firstLineChars="100" w:firstLine="240"/>
        <w:rPr>
          <w:rFonts w:ascii="宋体" w:hAnsi="宋体"/>
          <w:bCs/>
          <w:sz w:val="24"/>
        </w:rPr>
      </w:pPr>
      <w:r w:rsidRPr="00481206">
        <w:rPr>
          <w:rFonts w:ascii="宋体" w:hAnsi="宋体" w:hint="eastAsia"/>
          <w:bCs/>
          <w:sz w:val="24"/>
        </w:rPr>
        <w:t>三、实际交割率不同</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在远期交易中，所有成交的合约几乎都要到期交割，因为这种交易一般都以到期交割为主要目的。所以，如果不考虑违约，远期交易的实际交割率应为100%。但在期货交易中，无论是套期保值者，还是套利者或投机者，他们在成交后往往并不等到到期后通过实物交收而平仓，而是在到期前通过反向交易而平仓，因此其实际交割率很低。</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四、现金流量的变动不同</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期货交易实行逐日结算制度，所以只要价格发生变动，现金流量在每个交易日都要发生变动。而远期交易并不实行逐日结算制度，所以交易双方只是在合约到期日才发生现金流量的变动。</w:t>
      </w:r>
    </w:p>
    <w:p w:rsidR="00481206" w:rsidRPr="00481206" w:rsidRDefault="00481206" w:rsidP="00481206">
      <w:pPr>
        <w:jc w:val="center"/>
        <w:rPr>
          <w:rFonts w:ascii="宋体" w:hAnsi="宋体"/>
          <w:bCs/>
          <w:sz w:val="24"/>
        </w:rPr>
      </w:pPr>
      <w:r w:rsidRPr="00481206">
        <w:rPr>
          <w:rFonts w:ascii="宋体" w:hAnsi="宋体" w:hint="eastAsia"/>
          <w:bCs/>
          <w:sz w:val="24"/>
        </w:rPr>
        <w:t>第四节 金融期货市场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一、金融期货市场的形成和发展</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（一）金融期货市场的形成</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lastRenderedPageBreak/>
        <w:t>世界上第一张金融期货合约是由芝加哥商业交易所推出的外汇期货合约，并于1972年特设国际货币市场分部从事外汇期货的交易，从而成为世界上第一个金融期货市场。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货币期货的产生：1972年，美国芝加哥商业交易所的国际货币市场，也是最早的金融期货合约；</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利率期货的产生：1975年，美国芝加哥期货交易所——政府国民抵押协会抵押凭证期货合约；</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股票期货的产生：20世纪80年代后期，英国伦敦国际金融期货与期权交易所；</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股指期货的产生：1982年2月，美国堪萨斯交易所首先推出价值线综合指数合约，同年4月，芝加哥商业交易所推出标准普尔500指数期货合约。值得注意的是，我国的股指期货合约于2010年4月16日正式推出。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我国期货市场产生于20世纪80年代。郑州商品交易所是我国建立的第一个商品期货市场，成立于1990年10月12日。同时，在1992年，广东万通期货经纪公司是我国第一家期货经纪公司。</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（二）金融期货市场的发展</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主要表现在四个方面：</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第一，美国及其他国家和地区原有的商品期货市场与证券市场纷纷开办各种金融期货业务，形成与金融现货交易或普通商品期货交易融为一体的综合性的金融期货市场。比如，1948年成立的芝加哥期货交易所原是以农产品期货为主，自从1975年推出利率期货以来，金融期货逐渐占据该期货交易所的主导地位；</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第二，欧洲及亚太地区的许多国家和地区纷纷建立专业性的金融期货市场，大刀阔斧第开展金融期货交易。比如伦敦国际期货和期权交易所、东京国际金融期货交易所等；</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三，金融期货市场日益走向国际化和全球一体化，主要表现在：一是同种金融期货合约可在不同国家的金融期货市场上市，比如日经225指数期货合约同时在大阪证券交易所和新加坡国际金融交易所上市；二是许多金融期货市场纷纷在境外设立办事处，通过各种活动吸引国外投资者，以增加交易量。</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注意：金融期货市场的国际连接——芝加哥商业交易所与新加坡国际金融交易所的相互对冲方式，即投资者在其中一个市场买进（卖出）某种期货合约以后，可在另一个市场卖出（买进）同种期货合约，以实现对冲。这种国际连接更促进了金融期货交易的国际化，同时还延长了金融期货的交易时间。</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第四，随着通讯技术的发展，电子交易为延长交易时间、开拓市场范围提供了极大</w:t>
      </w:r>
      <w:r w:rsidRPr="00481206">
        <w:rPr>
          <w:rFonts w:ascii="宋体" w:hAnsi="宋体" w:hint="eastAsia"/>
          <w:bCs/>
          <w:sz w:val="24"/>
        </w:rPr>
        <w:lastRenderedPageBreak/>
        <w:t>的空间。</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（三）金融期货市场的类型</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主要有两种类型：</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第一，专门为开展金融期货交易而设立的专业性的金融期货市场，比如伦敦国际金融期货与期权交易所、东京国际金融期货交易所及新加坡国际金融交易所等。</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二，传统的或原有的普通商品期货市场或证券现货市场，因开设金融期货交易业务而形成的金融期货市场。这种市场并非专门从事金融期货交易，而是同时兼有普通商品期货交易和证券现货交易的综合性市场。比如美国的芝加哥期货交易所、日本的东京证券交易所等。</w:t>
      </w:r>
    </w:p>
    <w:p w:rsidR="00481206" w:rsidRPr="00481206" w:rsidRDefault="00481206" w:rsidP="00481206">
      <w:pPr>
        <w:spacing w:line="360" w:lineRule="auto"/>
        <w:ind w:leftChars="100" w:left="210" w:firstLineChars="100" w:firstLine="240"/>
        <w:rPr>
          <w:rFonts w:ascii="宋体" w:hAnsi="宋体"/>
          <w:bCs/>
          <w:sz w:val="24"/>
        </w:rPr>
      </w:pPr>
      <w:r w:rsidRPr="00481206">
        <w:rPr>
          <w:rFonts w:ascii="宋体" w:hAnsi="宋体" w:hint="eastAsia"/>
          <w:bCs/>
          <w:sz w:val="24"/>
        </w:rPr>
        <w:t>二、金融期货市场的基本结构</w:t>
      </w:r>
    </w:p>
    <w:p w:rsidR="00481206" w:rsidRPr="00481206" w:rsidRDefault="00481206" w:rsidP="00481206">
      <w:pPr>
        <w:spacing w:line="360" w:lineRule="auto"/>
        <w:ind w:firstLineChars="147" w:firstLine="353"/>
        <w:outlineLvl w:val="0"/>
        <w:rPr>
          <w:rFonts w:ascii="宋体" w:hAnsi="宋体"/>
          <w:bCs/>
          <w:sz w:val="24"/>
        </w:rPr>
      </w:pPr>
      <w:bookmarkStart w:id="333" w:name="_Toc444350192"/>
      <w:bookmarkStart w:id="334" w:name="_Toc474271667"/>
      <w:r w:rsidRPr="00481206">
        <w:rPr>
          <w:rFonts w:ascii="宋体" w:hAnsi="宋体" w:hint="eastAsia"/>
          <w:bCs/>
          <w:sz w:val="24"/>
        </w:rPr>
        <w:t>（一）交易所</w:t>
      </w:r>
      <w:bookmarkEnd w:id="333"/>
      <w:bookmarkEnd w:id="334"/>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 xml:space="preserve"> 交易所是专门为金融期货交易提供交易场所和所需的各种设施，制定和执行金融期货交易的规章制度，组织和管理金融期货交易活动的公共组织。交易所是整个金融期货市场的核心。</w:t>
      </w:r>
    </w:p>
    <w:p w:rsidR="00481206" w:rsidRPr="00481206" w:rsidRDefault="00481206" w:rsidP="00481206">
      <w:pPr>
        <w:spacing w:line="360" w:lineRule="auto"/>
        <w:ind w:firstLineChars="147" w:firstLine="353"/>
        <w:outlineLvl w:val="0"/>
        <w:rPr>
          <w:rFonts w:ascii="宋体" w:hAnsi="宋体"/>
          <w:bCs/>
          <w:sz w:val="24"/>
        </w:rPr>
      </w:pPr>
      <w:bookmarkStart w:id="335" w:name="_Toc444350193"/>
      <w:bookmarkStart w:id="336" w:name="_Toc474271668"/>
      <w:r w:rsidRPr="00481206">
        <w:rPr>
          <w:rFonts w:ascii="宋体" w:hAnsi="宋体" w:hint="eastAsia"/>
          <w:bCs/>
          <w:sz w:val="24"/>
        </w:rPr>
        <w:t>（二）结算单位</w:t>
      </w:r>
      <w:bookmarkEnd w:id="335"/>
      <w:bookmarkEnd w:id="336"/>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 xml:space="preserve"> 通常被称为“清算所”，它可以是交易所所属的一个部门，也可以是与交易所无隶属关系的一个独立的实体。除了办理日常清算和安排实物交割等业务外，它还充当买卖双方的中间人，保证所有成交合约的履行，也就是说，在金融期货交易中，结算单位是所有买者的卖者，所有卖者的买者。因此交易双方都不必知道实际上的交易对手是谁，也可不通过实际上的交易对手而对冲自己的期货部位。</w:t>
      </w:r>
    </w:p>
    <w:p w:rsidR="00481206" w:rsidRPr="00481206" w:rsidRDefault="00481206" w:rsidP="00481206">
      <w:pPr>
        <w:spacing w:line="360" w:lineRule="auto"/>
        <w:ind w:firstLineChars="147" w:firstLine="353"/>
        <w:outlineLvl w:val="0"/>
        <w:rPr>
          <w:rFonts w:ascii="宋体" w:hAnsi="宋体"/>
          <w:bCs/>
          <w:sz w:val="24"/>
        </w:rPr>
      </w:pPr>
      <w:bookmarkStart w:id="337" w:name="_Toc444350194"/>
      <w:bookmarkStart w:id="338" w:name="_Toc474271669"/>
      <w:r w:rsidRPr="00481206">
        <w:rPr>
          <w:rFonts w:ascii="宋体" w:hAnsi="宋体" w:hint="eastAsia"/>
          <w:bCs/>
          <w:sz w:val="24"/>
        </w:rPr>
        <w:t>（三）经纪商和经纪人</w:t>
      </w:r>
      <w:bookmarkEnd w:id="337"/>
      <w:bookmarkEnd w:id="338"/>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 xml:space="preserve"> 金融期货交易所一般实行会员制度，只有交易所的会员才能直接进场从事交易，而非会员的交易者只能委托属于交易所会员的经纪商或经纪人参与交易。</w:t>
      </w:r>
    </w:p>
    <w:p w:rsidR="00481206" w:rsidRPr="00481206" w:rsidRDefault="00481206" w:rsidP="00481206">
      <w:pPr>
        <w:spacing w:line="360" w:lineRule="auto"/>
        <w:ind w:firstLineChars="197" w:firstLine="473"/>
        <w:rPr>
          <w:rFonts w:ascii="宋体" w:hAnsi="宋体"/>
          <w:bCs/>
          <w:sz w:val="24"/>
        </w:rPr>
      </w:pPr>
      <w:r w:rsidRPr="00481206">
        <w:rPr>
          <w:rFonts w:ascii="宋体" w:hAnsi="宋体" w:hint="eastAsia"/>
          <w:bCs/>
          <w:sz w:val="24"/>
        </w:rPr>
        <w:t>交易所的会员有两种：</w:t>
      </w:r>
    </w:p>
    <w:p w:rsidR="00481206" w:rsidRPr="00481206" w:rsidRDefault="00481206" w:rsidP="00481206">
      <w:pPr>
        <w:spacing w:line="360" w:lineRule="auto"/>
        <w:ind w:firstLineChars="197" w:firstLine="473"/>
        <w:rPr>
          <w:rFonts w:ascii="宋体" w:hAnsi="宋体"/>
          <w:bCs/>
          <w:sz w:val="24"/>
        </w:rPr>
      </w:pPr>
      <w:r w:rsidRPr="00481206">
        <w:rPr>
          <w:rFonts w:ascii="宋体" w:hAnsi="宋体" w:hint="eastAsia"/>
          <w:bCs/>
          <w:sz w:val="24"/>
        </w:rPr>
        <w:t>一是自营商，本身参与金融期货合约的买卖；</w:t>
      </w:r>
    </w:p>
    <w:p w:rsidR="00481206" w:rsidRPr="00481206" w:rsidRDefault="00481206" w:rsidP="00481206">
      <w:pPr>
        <w:spacing w:line="360" w:lineRule="auto"/>
        <w:ind w:firstLineChars="197" w:firstLine="473"/>
        <w:rPr>
          <w:rFonts w:ascii="宋体" w:hAnsi="宋体"/>
          <w:bCs/>
          <w:sz w:val="24"/>
        </w:rPr>
      </w:pPr>
      <w:r w:rsidRPr="00481206">
        <w:rPr>
          <w:rFonts w:ascii="宋体" w:hAnsi="宋体" w:hint="eastAsia"/>
          <w:bCs/>
          <w:sz w:val="24"/>
        </w:rPr>
        <w:t>另一种是经纪商，本身不参与金融期货的买卖，只是接受非会员客户的委托进行期货买卖，并从客户那里收入佣金作为收入。经纪商或经纪人是连接交易所与非会员客户之间的桥梁。</w:t>
      </w:r>
    </w:p>
    <w:p w:rsidR="00481206" w:rsidRPr="00481206" w:rsidRDefault="00481206" w:rsidP="00481206">
      <w:pPr>
        <w:spacing w:line="360" w:lineRule="auto"/>
        <w:ind w:firstLineChars="150" w:firstLine="360"/>
        <w:outlineLvl w:val="0"/>
        <w:rPr>
          <w:rFonts w:ascii="宋体" w:hAnsi="宋体"/>
          <w:bCs/>
          <w:sz w:val="24"/>
        </w:rPr>
      </w:pPr>
      <w:bookmarkStart w:id="339" w:name="_Toc444350195"/>
      <w:bookmarkStart w:id="340" w:name="_Toc474271670"/>
      <w:r w:rsidRPr="00481206">
        <w:rPr>
          <w:rFonts w:ascii="宋体" w:hAnsi="宋体" w:hint="eastAsia"/>
          <w:bCs/>
          <w:sz w:val="24"/>
        </w:rPr>
        <w:t>（四）交易者</w:t>
      </w:r>
      <w:bookmarkEnd w:id="339"/>
      <w:bookmarkEnd w:id="340"/>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金融期货市场的交易者大致可分为三类：</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lastRenderedPageBreak/>
        <w:t xml:space="preserve"> 一是套期保值者：通过金融期货交易来转嫁各种金融风险的交易者，也就是说，利用金融期货交易来减少自身经济风险的人被称作套期保值者。</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比如：房主购买火灾险对其房屋进行套期保值，车主购买碰撞险对车辆进行套期保值。</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二是套利者：指那些利用同种金融期货合约在不同市场之间、不同交割月之间，或同一市场、同一交割月的不同金融期货合约之间暂时不合理的价格关系，通过同时的买进和卖出以赚取价差收益的交易者；</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套利举例，比如投资者发现ABC股票在纽约交易所的价格是10美元，而在伦敦交易所的价格为10.12美元，这样投资者在纽约交易所买进ABC股票，同时在伦敦交易所卖出同等数量的ABC股票，从而获得两个市场之间的价格差，同时，通过在两个市场之间的交易，两个市场中关于ABC股票的价格差也会趋于消失。</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再者，投资者可以以较低的利率借入资金，同时以较高的利率贷出资金，假定不存在违约风险，这种行为也属于套利。</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三是投机者：是指根据他们对金融期货价格的预测，通过低价买进、高价卖出以获取利润的交易者。一般来讲，投机者是接受套期保值者不想要的风险的投资者。投机者之所以接受这种风险，是因为他们相信其潜在的收益超过了风险。</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投机者最典型的例子就是东南亚金融危机前夕，巴林银行的交易员尼克.里森不断的对日元指数期货进行投机，由此导致了巴林银行的破产。</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当然，金融期货市场的目的不是投机，而是进行风险管理和转移，通过市场的运作将风险厌恶者承担的风险转移给风险偏好者。下图反映了套期保值者和投机者的区别：</w:t>
      </w:r>
    </w:p>
    <w:p w:rsidR="00481206" w:rsidRPr="00481206" w:rsidRDefault="00EF6E22" w:rsidP="00481206">
      <w:pPr>
        <w:ind w:firstLineChars="200" w:firstLine="480"/>
        <w:rPr>
          <w:rFonts w:ascii="宋体" w:hAnsi="宋体"/>
          <w:bCs/>
          <w:sz w:val="24"/>
        </w:rPr>
      </w:pPr>
      <w:r>
        <w:rPr>
          <w:rFonts w:ascii="宋体" w:hAnsi="宋体"/>
          <w:bCs/>
          <w:sz w:val="24"/>
        </w:rPr>
      </w:r>
      <w:r>
        <w:rPr>
          <w:rFonts w:ascii="宋体" w:hAnsi="宋体"/>
          <w:bCs/>
          <w:sz w:val="24"/>
        </w:rPr>
        <w:pict>
          <v:group id="_x0000_s1261" editas="canvas" style="width:414pt;height:70.2pt;mso-position-horizontal-relative:char;mso-position-vertical-relative:line" coordorigin="2362,5103" coordsize="7200,1223">
            <o:lock v:ext="edit" aspectratio="t"/>
            <v:shape id="_x0000_s1262" type="#_x0000_t75" style="position:absolute;left:2362;top:5103;width:7200;height:1223" o:preferrelative="f">
              <v:fill o:detectmouseclick="t"/>
              <v:path o:extrusionok="t" o:connecttype="none"/>
              <o:lock v:ext="edit" text="t"/>
            </v:shape>
            <v:rect id="_x0000_s1263" style="position:absolute;left:2519;top:5647;width:1565;height:543">
              <v:textbox>
                <w:txbxContent>
                  <w:p w:rsidR="00481206" w:rsidRDefault="00481206" w:rsidP="00481206">
                    <w:pPr>
                      <w:ind w:firstLineChars="100" w:firstLine="210"/>
                    </w:pPr>
                    <w:r>
                      <w:rPr>
                        <w:rFonts w:hint="eastAsia"/>
                      </w:rPr>
                      <w:t>套期保值者</w:t>
                    </w:r>
                  </w:p>
                </w:txbxContent>
              </v:textbox>
            </v:rect>
            <v:rect id="_x0000_s1264" style="position:absolute;left:7214;top:5647;width:1565;height:542">
              <v:textbox>
                <w:txbxContent>
                  <w:p w:rsidR="00481206" w:rsidRDefault="00481206" w:rsidP="00481206">
                    <w:pPr>
                      <w:ind w:firstLineChars="150" w:firstLine="315"/>
                    </w:pPr>
                    <w:r>
                      <w:rPr>
                        <w:rFonts w:hint="eastAsia"/>
                      </w:rPr>
                      <w:t>投机者</w:t>
                    </w:r>
                  </w:p>
                </w:txbxContent>
              </v:textbox>
            </v:rect>
            <v:rect id="_x0000_s1265" style="position:absolute;left:5023;top:5375;width:1564;height:407" stroked="f">
              <v:textbox>
                <w:txbxContent>
                  <w:p w:rsidR="00481206" w:rsidRDefault="00481206" w:rsidP="00481206">
                    <w:pPr>
                      <w:ind w:firstLineChars="100" w:firstLine="210"/>
                    </w:pPr>
                    <w:r>
                      <w:rPr>
                        <w:rFonts w:hint="eastAsia"/>
                      </w:rPr>
                      <w:t>风险转移</w:t>
                    </w:r>
                  </w:p>
                </w:txbxContent>
              </v:textbox>
            </v:rect>
            <v:line id="_x0000_s1266" style="position:absolute" from="4084,5918" to="7214,5918">
              <v:stroke endarrow="block"/>
            </v:line>
            <w10:wrap type="none"/>
            <w10:anchorlock/>
          </v:group>
        </w:pi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套利者和投机者之间的区别：</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套利者不承担价格风险，因此也叫无风险套利，或“免费午餐”，而投机者承担价格风险，因为投机者是通过对价格的预测而进行交易的。</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正是由于套利者不承担价格风险，市场中的套利机会是很少的，即使出现这种“无风险盈利”机会，这种机会也会随着交易者的纷纷利用而很快消失。</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在这里，我们需要注意的是，金融理论并不认为市场中不存在套利机会，而是认为</w:t>
      </w:r>
      <w:r w:rsidRPr="00481206">
        <w:rPr>
          <w:rFonts w:ascii="宋体" w:hAnsi="宋体" w:hint="eastAsia"/>
          <w:bCs/>
          <w:sz w:val="24"/>
        </w:rPr>
        <w:lastRenderedPageBreak/>
        <w:t>套利机会只是在短期中存在，在一个有效的市场中，市场会很快采取行动消除该套利机会并使价格回到均衡状态。</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三、金融期货市场的主要功能</w:t>
      </w:r>
    </w:p>
    <w:p w:rsidR="00481206" w:rsidRPr="00481206" w:rsidRDefault="00481206" w:rsidP="00481206">
      <w:pPr>
        <w:spacing w:line="360" w:lineRule="auto"/>
        <w:ind w:left="420"/>
        <w:rPr>
          <w:rFonts w:ascii="宋体" w:hAnsi="宋体"/>
          <w:bCs/>
          <w:sz w:val="24"/>
        </w:rPr>
      </w:pPr>
      <w:r w:rsidRPr="00481206">
        <w:rPr>
          <w:rFonts w:ascii="宋体" w:hAnsi="宋体" w:hint="eastAsia"/>
          <w:bCs/>
          <w:sz w:val="24"/>
        </w:rPr>
        <w:t>主要包括两大功能：套期保值和价格发现。</w:t>
      </w:r>
    </w:p>
    <w:p w:rsidR="00481206" w:rsidRPr="00481206" w:rsidRDefault="00481206" w:rsidP="00481206">
      <w:pPr>
        <w:spacing w:line="360" w:lineRule="auto"/>
        <w:ind w:firstLineChars="150" w:firstLine="360"/>
        <w:outlineLvl w:val="0"/>
        <w:rPr>
          <w:rFonts w:ascii="宋体" w:hAnsi="宋体"/>
          <w:bCs/>
          <w:sz w:val="24"/>
        </w:rPr>
      </w:pPr>
      <w:bookmarkStart w:id="341" w:name="_Toc444350196"/>
      <w:bookmarkStart w:id="342" w:name="_Toc474271671"/>
      <w:r w:rsidRPr="00481206">
        <w:rPr>
          <w:rFonts w:ascii="宋体" w:hAnsi="宋体" w:hint="eastAsia"/>
          <w:bCs/>
          <w:sz w:val="24"/>
        </w:rPr>
        <w:t>（一）套期保值</w:t>
      </w:r>
      <w:bookmarkEnd w:id="341"/>
      <w:bookmarkEnd w:id="342"/>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1、概念：套期保值是指投资者在金融期货市场建立与其现货市场相反的部位，然后于合约到期前通过反向交易以结清部位，从而实现保值的交易方式。套期保值又叫做“对冲”或“避险”。</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2、原理：一般来讲，金融期货的价格决定于金融现货的价格，金融期货的价格和金融现货的价格一般呈同方向的变动关系，于是投资者在金融期货市场中建立了与其现货市场相反的部位以后，无论价格如何变动，投资者总能在一个市场中获得利润，而在一个市场中遭受损失，从而以一个市场的利润达到另一个市场中的损失，即达到保值的目的。</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可见，金融期货的套期保值，实际上是投资者将自己所面临的金融风险转嫁给交易的对手，对投资者本身而言，他通过金融期货的套期保值，可将未来的价格锁定在一个可以接受的水平。这一价格水平既已被锁定，则未来的收益和成本也可以被确定。这样，投资者即可根据这一价格水平，作出合理的生产经营决策。</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3、套期保值举例：</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（1）卖出股指期货的套期保值：如果投资者拥有股票，并担心市场指数下跌带来的风险，则投资者可以利用卖出股指期货合约进行套期保值，从而减少损失。</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比如，某机构投资者拥有股票组合，价值为120万元，此时深成指期货价格为10000点，为了避免股市下跌带来的风险，该机构卖出一份3个月到期的深成指期货合约进行套期保值。一段时期后，股市下跌，该投资者拥有的股票组合价值下降到108万元，深成指期货价格为9000点，则该投资者买入一份深成指期货合约进行平仓，假定期货合约乘数为100元/点，则：</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现货市场中的损失为：120-108=12万元</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期货市场中的盈利为：（10000-9000）点*100元/点=10万元</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因此，该投资者的总损失为2万元，小于现货市场中12万元的损失，该投资者通过在期货市场上进行反向操作的套期保值减少了单纯在现货市场上投资遭受的损失。</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（2）买入股指期货的套期保值：如果投资者计划在一段时期之后买入股票，但又担</w:t>
      </w:r>
      <w:r w:rsidRPr="00481206">
        <w:rPr>
          <w:rFonts w:ascii="宋体" w:hAnsi="宋体" w:hint="eastAsia"/>
          <w:bCs/>
          <w:sz w:val="24"/>
        </w:rPr>
        <w:lastRenderedPageBreak/>
        <w:t>心股票价格上涨造成买入成本增加，因此可以通过买入股指期货锁定股票未来的买入成本。</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比如，某投资者是股票市场中的做空者，目前股票组合的价值为95万元，为了防止股票价格上涨给该做空者带来的损失，该投资者买入一份2个月到期的深成指期货合约来进行套期保值，此时该股指期货的价格为10000点，一段时期后，该股票组合的价格上升到106万元，深成指期货合约的价格为11500点，假定期货合约乘数为100元/点，投资者卖出股指期货进行平仓，因此：</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由于股票价格的上涨，该做空者在现货市场中的损失为：106-95=11万元</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而期货市场中的盈利为：（11500-10000）*100元/点=15万元</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因此投资者最终盈利为4万元，所以投资者通过在期货市场中的套期保值减少了现货市场中的损失。</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4、套期保值的交易原则：</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交易方向相反原则</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交易数量相等原则</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时间相同或相近原则</w:t>
      </w:r>
    </w:p>
    <w:p w:rsidR="00481206" w:rsidRPr="00481206" w:rsidRDefault="00481206" w:rsidP="00481206">
      <w:pPr>
        <w:spacing w:line="360" w:lineRule="auto"/>
        <w:ind w:firstLineChars="150" w:firstLine="360"/>
        <w:outlineLvl w:val="0"/>
        <w:rPr>
          <w:rFonts w:ascii="宋体" w:hAnsi="宋体"/>
          <w:bCs/>
          <w:sz w:val="24"/>
        </w:rPr>
      </w:pPr>
      <w:bookmarkStart w:id="343" w:name="_Toc444350197"/>
      <w:bookmarkStart w:id="344" w:name="_Toc474271672"/>
      <w:r w:rsidRPr="00481206">
        <w:rPr>
          <w:rFonts w:ascii="宋体" w:hAnsi="宋体" w:hint="eastAsia"/>
          <w:bCs/>
          <w:sz w:val="24"/>
        </w:rPr>
        <w:t>（二）价格发现</w:t>
      </w:r>
      <w:bookmarkEnd w:id="343"/>
      <w:bookmarkEnd w:id="344"/>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所谓“价格发现”，也称价格形成，是指金融期货市场能够提供各种金融商品的价格信息。金融期货市场上所形成的价格，也为金融期货市场以外的金融商品的交易提供了有用的价格信息。这种功能有利于形成公平、合理、统一的价格，从而也有利于消除垄断、促进竞争，使各种生产经营者、投资者和金融机构都根据这一价格作出合理的生产经营和投资决策，以实现公平合理、机会均等的价格。</w:t>
      </w:r>
    </w:p>
    <w:p w:rsidR="00481206" w:rsidRPr="00481206" w:rsidRDefault="00481206" w:rsidP="00481206">
      <w:pPr>
        <w:spacing w:line="360" w:lineRule="auto"/>
        <w:ind w:firstLineChars="200" w:firstLine="480"/>
        <w:outlineLvl w:val="1"/>
        <w:rPr>
          <w:rFonts w:ascii="宋体" w:hAnsi="宋体" w:cs="宋体"/>
          <w:bCs/>
          <w:sz w:val="24"/>
        </w:rPr>
      </w:pPr>
      <w:bookmarkStart w:id="345" w:name="_Toc444350198"/>
      <w:bookmarkStart w:id="346" w:name="_Toc474271673"/>
      <w:r w:rsidRPr="00481206">
        <w:rPr>
          <w:rFonts w:ascii="宋体" w:hAnsi="宋体" w:cs="宋体" w:hint="eastAsia"/>
          <w:bCs/>
          <w:sz w:val="24"/>
        </w:rPr>
        <w:t>7.2.5教学方法</w:t>
      </w:r>
      <w:bookmarkEnd w:id="274"/>
      <w:bookmarkEnd w:id="345"/>
      <w:bookmarkEnd w:id="346"/>
    </w:p>
    <w:p w:rsidR="00481206" w:rsidRPr="00481206" w:rsidRDefault="00481206" w:rsidP="00481206">
      <w:pPr>
        <w:spacing w:line="360" w:lineRule="auto"/>
        <w:ind w:firstLineChars="200" w:firstLine="480"/>
        <w:outlineLvl w:val="1"/>
        <w:rPr>
          <w:rFonts w:ascii="宋体" w:hAnsi="宋体" w:cs="宋体"/>
          <w:bCs/>
          <w:sz w:val="24"/>
        </w:rPr>
      </w:pPr>
      <w:bookmarkStart w:id="347" w:name="_Toc430423211"/>
      <w:bookmarkStart w:id="348" w:name="_Toc444350199"/>
      <w:bookmarkStart w:id="349" w:name="_Toc474271674"/>
      <w:r w:rsidRPr="00481206">
        <w:rPr>
          <w:rFonts w:ascii="宋体" w:hAnsi="宋体" w:cs="宋体" w:hint="eastAsia"/>
          <w:sz w:val="24"/>
        </w:rPr>
        <w:t>课堂讲授；设问；案例分析；演算练习；专题讨论。</w:t>
      </w:r>
      <w:bookmarkEnd w:id="347"/>
      <w:bookmarkEnd w:id="348"/>
      <w:bookmarkEnd w:id="349"/>
    </w:p>
    <w:p w:rsidR="00481206" w:rsidRPr="00481206" w:rsidRDefault="00481206" w:rsidP="00481206">
      <w:pPr>
        <w:spacing w:line="360" w:lineRule="auto"/>
        <w:ind w:firstLineChars="200" w:firstLine="480"/>
        <w:outlineLvl w:val="1"/>
        <w:rPr>
          <w:rFonts w:ascii="宋体" w:hAnsi="宋体" w:cs="宋体"/>
          <w:sz w:val="24"/>
        </w:rPr>
      </w:pPr>
      <w:bookmarkStart w:id="350" w:name="_Toc430423212"/>
      <w:bookmarkStart w:id="351" w:name="_Toc444350200"/>
      <w:bookmarkStart w:id="352" w:name="_Toc474271675"/>
      <w:r w:rsidRPr="00481206">
        <w:rPr>
          <w:rFonts w:ascii="宋体" w:hAnsi="宋体" w:cs="宋体" w:hint="eastAsia"/>
          <w:bCs/>
          <w:sz w:val="24"/>
        </w:rPr>
        <w:t>7.2.6作业安排及课后反思</w:t>
      </w:r>
      <w:bookmarkEnd w:id="350"/>
      <w:bookmarkEnd w:id="351"/>
      <w:bookmarkEnd w:id="352"/>
    </w:p>
    <w:p w:rsidR="00481206" w:rsidRPr="00481206" w:rsidRDefault="00481206" w:rsidP="00481206">
      <w:pPr>
        <w:widowControl/>
        <w:spacing w:line="360" w:lineRule="auto"/>
        <w:ind w:firstLineChars="200" w:firstLine="480"/>
        <w:jc w:val="left"/>
        <w:rPr>
          <w:rFonts w:ascii="宋体" w:hAnsi="宋体" w:cs="宋体"/>
          <w:kern w:val="0"/>
          <w:sz w:val="24"/>
        </w:rPr>
      </w:pPr>
      <w:r w:rsidRPr="00481206">
        <w:rPr>
          <w:rFonts w:ascii="宋体" w:hAnsi="宋体" w:cs="宋体" w:hint="eastAsia"/>
          <w:kern w:val="0"/>
          <w:sz w:val="24"/>
        </w:rPr>
        <w:t>1）期货市场产生的原因是什么？</w:t>
      </w:r>
    </w:p>
    <w:p w:rsidR="00481206" w:rsidRPr="00481206" w:rsidRDefault="00481206" w:rsidP="00481206">
      <w:pPr>
        <w:widowControl/>
        <w:spacing w:line="360" w:lineRule="auto"/>
        <w:ind w:firstLineChars="200" w:firstLine="480"/>
        <w:jc w:val="left"/>
        <w:rPr>
          <w:rFonts w:ascii="宋体" w:hAnsi="宋体" w:cs="宋体"/>
          <w:kern w:val="0"/>
          <w:sz w:val="24"/>
        </w:rPr>
      </w:pPr>
      <w:r w:rsidRPr="00481206">
        <w:rPr>
          <w:rFonts w:ascii="宋体" w:hAnsi="宋体" w:cs="宋体" w:hint="eastAsia"/>
          <w:kern w:val="0"/>
          <w:sz w:val="24"/>
        </w:rPr>
        <w:t>2）哪些商品适合进行期货交易？</w:t>
      </w:r>
    </w:p>
    <w:p w:rsidR="00481206" w:rsidRPr="00481206" w:rsidRDefault="00481206" w:rsidP="00481206">
      <w:pPr>
        <w:widowControl/>
        <w:spacing w:line="360" w:lineRule="auto"/>
        <w:ind w:firstLineChars="200" w:firstLine="480"/>
        <w:jc w:val="left"/>
        <w:rPr>
          <w:rFonts w:ascii="宋体" w:hAnsi="宋体" w:cs="宋体"/>
          <w:kern w:val="0"/>
          <w:sz w:val="24"/>
        </w:rPr>
      </w:pPr>
      <w:r w:rsidRPr="00481206">
        <w:rPr>
          <w:rFonts w:ascii="宋体" w:hAnsi="宋体" w:cs="宋体" w:hint="eastAsia"/>
          <w:kern w:val="0"/>
          <w:sz w:val="24"/>
        </w:rPr>
        <w:t>3）什么是双向交易和对冲交易？</w:t>
      </w:r>
    </w:p>
    <w:p w:rsidR="00481206" w:rsidRPr="00481206" w:rsidRDefault="00481206" w:rsidP="00481206">
      <w:pPr>
        <w:widowControl/>
        <w:spacing w:line="360" w:lineRule="auto"/>
        <w:ind w:firstLineChars="200" w:firstLine="480"/>
        <w:jc w:val="left"/>
        <w:rPr>
          <w:rFonts w:ascii="宋体" w:hAnsi="宋体" w:cs="宋体"/>
          <w:kern w:val="0"/>
          <w:sz w:val="24"/>
        </w:rPr>
      </w:pPr>
      <w:r w:rsidRPr="00481206">
        <w:rPr>
          <w:rFonts w:ascii="宋体" w:hAnsi="宋体" w:cs="宋体" w:hint="eastAsia"/>
          <w:kern w:val="0"/>
          <w:sz w:val="24"/>
        </w:rPr>
        <w:t>4）如何理解期货交易的杠杆机制？</w:t>
      </w:r>
    </w:p>
    <w:p w:rsidR="00481206" w:rsidRPr="00481206" w:rsidRDefault="00481206" w:rsidP="00481206">
      <w:pPr>
        <w:widowControl/>
        <w:spacing w:line="360" w:lineRule="auto"/>
        <w:ind w:firstLineChars="200" w:firstLine="480"/>
        <w:jc w:val="left"/>
        <w:rPr>
          <w:rFonts w:ascii="宋体" w:hAnsi="宋体" w:cs="宋体"/>
          <w:kern w:val="0"/>
          <w:sz w:val="24"/>
        </w:rPr>
      </w:pPr>
      <w:r w:rsidRPr="00481206">
        <w:rPr>
          <w:rFonts w:ascii="宋体" w:hAnsi="宋体" w:cs="宋体" w:hint="eastAsia"/>
          <w:kern w:val="0"/>
          <w:sz w:val="24"/>
        </w:rPr>
        <w:t>5）简要回顾中国期货市场的发展过程。</w:t>
      </w:r>
    </w:p>
    <w:p w:rsidR="00481206" w:rsidRPr="00481206" w:rsidRDefault="00481206" w:rsidP="00481206">
      <w:pPr>
        <w:widowControl/>
        <w:ind w:firstLineChars="200" w:firstLine="480"/>
        <w:jc w:val="left"/>
        <w:rPr>
          <w:rFonts w:ascii="宋体" w:hAnsi="宋体" w:cs="宋体"/>
          <w:kern w:val="0"/>
          <w:sz w:val="24"/>
        </w:rPr>
      </w:pPr>
      <w:r w:rsidRPr="00481206">
        <w:rPr>
          <w:rFonts w:ascii="宋体" w:hAnsi="宋体" w:cs="宋体" w:hint="eastAsia"/>
          <w:kern w:val="0"/>
          <w:sz w:val="24"/>
        </w:rPr>
        <w:t>6）</w:t>
      </w:r>
      <w:r w:rsidRPr="00481206">
        <w:rPr>
          <w:rFonts w:cs="宋体" w:hint="eastAsia"/>
          <w:kern w:val="0"/>
          <w:sz w:val="24"/>
        </w:rPr>
        <w:t>期货交易竞价方式主要有哪些？</w:t>
      </w:r>
    </w:p>
    <w:p w:rsidR="00481206" w:rsidRPr="00481206" w:rsidRDefault="00481206" w:rsidP="00481206">
      <w:pPr>
        <w:widowControl/>
        <w:spacing w:line="360" w:lineRule="auto"/>
        <w:ind w:firstLineChars="200" w:firstLine="480"/>
        <w:jc w:val="left"/>
        <w:rPr>
          <w:rFonts w:ascii="宋体" w:hAnsi="宋体" w:cs="宋体"/>
          <w:kern w:val="0"/>
          <w:sz w:val="24"/>
        </w:rPr>
      </w:pPr>
    </w:p>
    <w:p w:rsidR="00481206" w:rsidRPr="00481206" w:rsidRDefault="00481206" w:rsidP="00481206">
      <w:pPr>
        <w:spacing w:line="360" w:lineRule="auto"/>
        <w:ind w:firstLineChars="200" w:firstLine="480"/>
        <w:outlineLvl w:val="1"/>
        <w:rPr>
          <w:rFonts w:ascii="宋体" w:hAnsi="宋体" w:cs="宋体"/>
          <w:sz w:val="24"/>
        </w:rPr>
      </w:pPr>
      <w:bookmarkStart w:id="353" w:name="_Toc430423216"/>
      <w:bookmarkStart w:id="354" w:name="_Toc444350201"/>
      <w:bookmarkStart w:id="355" w:name="_Toc474271676"/>
      <w:r w:rsidRPr="00481206">
        <w:rPr>
          <w:rFonts w:ascii="宋体" w:hAnsi="宋体" w:cs="宋体" w:hint="eastAsia"/>
          <w:bCs/>
          <w:sz w:val="24"/>
        </w:rPr>
        <w:t>7.2.7课前准备情况及其他相关特殊要求</w:t>
      </w:r>
      <w:bookmarkEnd w:id="353"/>
      <w:bookmarkEnd w:id="354"/>
      <w:bookmarkEnd w:id="355"/>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356" w:name="_Toc430423217"/>
      <w:bookmarkStart w:id="357" w:name="_Toc444350202"/>
      <w:bookmarkStart w:id="358" w:name="_Toc474271677"/>
      <w:r w:rsidRPr="00481206">
        <w:rPr>
          <w:rFonts w:ascii="宋体" w:hAnsi="宋体" w:cs="宋体" w:hint="eastAsia"/>
          <w:bCs/>
          <w:sz w:val="24"/>
        </w:rPr>
        <w:t>教师：</w:t>
      </w:r>
      <w:r w:rsidRPr="00481206">
        <w:rPr>
          <w:rFonts w:ascii="宋体" w:hAnsi="宋体" w:cs="宋体" w:hint="eastAsia"/>
          <w:sz w:val="24"/>
        </w:rPr>
        <w:t>熟悉课程教学要点；梳理实施方案，明确执行步骤；做好作业评价准备；准备经验素材。</w:t>
      </w:r>
      <w:bookmarkEnd w:id="356"/>
      <w:bookmarkEnd w:id="357"/>
      <w:bookmarkEnd w:id="358"/>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359" w:name="_Toc430423218"/>
      <w:bookmarkStart w:id="360" w:name="_Toc444350203"/>
      <w:bookmarkStart w:id="361" w:name="_Toc474271678"/>
      <w:r w:rsidRPr="00481206">
        <w:rPr>
          <w:rFonts w:ascii="宋体" w:hAnsi="宋体" w:cs="宋体" w:hint="eastAsia"/>
          <w:bCs/>
          <w:sz w:val="24"/>
        </w:rPr>
        <w:t>学生：</w:t>
      </w:r>
      <w:r w:rsidRPr="00481206">
        <w:rPr>
          <w:rFonts w:ascii="宋体" w:hAnsi="宋体" w:cs="宋体" w:hint="eastAsia"/>
          <w:sz w:val="24"/>
        </w:rPr>
        <w:t>阅读有关金融期货的经验素材。</w:t>
      </w:r>
      <w:bookmarkEnd w:id="359"/>
      <w:bookmarkEnd w:id="360"/>
      <w:bookmarkEnd w:id="361"/>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bCs/>
          <w:sz w:val="24"/>
        </w:rPr>
        <w:t xml:space="preserve">    </w:t>
      </w:r>
      <w:bookmarkStart w:id="362" w:name="_Toc430423219"/>
      <w:bookmarkStart w:id="363" w:name="_Toc444350204"/>
      <w:bookmarkStart w:id="364" w:name="_Toc474271679"/>
      <w:r w:rsidRPr="00481206">
        <w:rPr>
          <w:rFonts w:ascii="宋体" w:hAnsi="宋体" w:cs="宋体" w:hint="eastAsia"/>
          <w:bCs/>
          <w:sz w:val="24"/>
        </w:rPr>
        <w:t>7.2.8参考资料</w:t>
      </w:r>
      <w:bookmarkEnd w:id="362"/>
      <w:bookmarkEnd w:id="363"/>
      <w:bookmarkEnd w:id="364"/>
    </w:p>
    <w:p w:rsidR="00481206" w:rsidRPr="00481206" w:rsidRDefault="00481206" w:rsidP="00481206">
      <w:pPr>
        <w:spacing w:line="360" w:lineRule="auto"/>
        <w:ind w:firstLineChars="200" w:firstLine="480"/>
        <w:outlineLvl w:val="1"/>
        <w:rPr>
          <w:rFonts w:ascii="宋体" w:hAnsi="宋体" w:cs="宋体"/>
          <w:sz w:val="24"/>
        </w:rPr>
      </w:pPr>
      <w:bookmarkStart w:id="365" w:name="_Toc444350205"/>
      <w:bookmarkStart w:id="366" w:name="_Toc474271680"/>
      <w:r w:rsidRPr="00481206">
        <w:rPr>
          <w:rFonts w:ascii="宋体" w:hAnsi="宋体" w:hint="eastAsia"/>
          <w:sz w:val="24"/>
        </w:rPr>
        <w:t>高鸿业.西方及经济学学习与教学手册（第二版）[M],北京：中国人民大学出版社，  2007.</w:t>
      </w:r>
      <w:bookmarkEnd w:id="365"/>
      <w:bookmarkEnd w:id="366"/>
    </w:p>
    <w:p w:rsidR="00481206" w:rsidRPr="00481206" w:rsidRDefault="00481206" w:rsidP="00481206">
      <w:pPr>
        <w:spacing w:line="360" w:lineRule="auto"/>
        <w:ind w:firstLineChars="200" w:firstLine="480"/>
        <w:outlineLvl w:val="1"/>
        <w:rPr>
          <w:rFonts w:ascii="宋体" w:hAnsi="宋体" w:cs="宋体"/>
          <w:bCs/>
          <w:sz w:val="24"/>
        </w:rPr>
      </w:pPr>
      <w:bookmarkStart w:id="367" w:name="_Toc444350206"/>
      <w:bookmarkStart w:id="368" w:name="_Toc474271681"/>
      <w:r w:rsidRPr="00481206">
        <w:rPr>
          <w:rFonts w:ascii="宋体" w:hAnsi="宋体" w:cs="宋体" w:hint="eastAsia"/>
          <w:bCs/>
          <w:sz w:val="24"/>
        </w:rPr>
        <w:t>任映国.国际投资学</w:t>
      </w:r>
      <w:r w:rsidRPr="00481206">
        <w:rPr>
          <w:rFonts w:ascii="宋体" w:hAnsi="宋体" w:cs="宋体" w:hint="eastAsia"/>
          <w:sz w:val="24"/>
        </w:rPr>
        <w:t>[M]</w:t>
      </w:r>
      <w:r w:rsidRPr="00481206">
        <w:rPr>
          <w:rFonts w:ascii="宋体" w:hAnsi="宋体" w:cs="宋体" w:hint="eastAsia"/>
          <w:bCs/>
          <w:sz w:val="24"/>
        </w:rPr>
        <w:t>，北京：中国金融出版社出版社，2001.</w:t>
      </w:r>
      <w:bookmarkEnd w:id="367"/>
      <w:bookmarkEnd w:id="368"/>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陈信华.金融衍生工具[M],上海：上海财经大学出版社，2009.</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叶永刚.衍生金融工具[M],中国金融出版社,2004.</w:t>
      </w:r>
    </w:p>
    <w:p w:rsidR="00481206" w:rsidRPr="00481206" w:rsidRDefault="00481206" w:rsidP="00481206">
      <w:pPr>
        <w:spacing w:line="360" w:lineRule="auto"/>
        <w:ind w:firstLineChars="196" w:firstLine="470"/>
        <w:rPr>
          <w:rFonts w:ascii="宋体" w:hAnsi="宋体"/>
          <w:sz w:val="24"/>
        </w:rPr>
      </w:pPr>
      <w:r w:rsidRPr="00481206">
        <w:rPr>
          <w:rFonts w:ascii="宋体" w:hAnsi="宋体" w:hint="eastAsia"/>
          <w:sz w:val="24"/>
        </w:rPr>
        <w:t>赫尔著.期权、期货和其他衍生品[M],华夏出版社,2011.</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sz w:val="24"/>
        </w:rPr>
        <w:t>Hull,John C. Option,Futures and Other Derivative Securities(Fourth Edition) [M],2000.</w:t>
      </w:r>
    </w:p>
    <w:p w:rsidR="00481206" w:rsidRPr="00481206" w:rsidRDefault="00481206" w:rsidP="00481206">
      <w:pPr>
        <w:pStyle w:val="3"/>
        <w:spacing w:before="0" w:after="0" w:line="360" w:lineRule="auto"/>
        <w:rPr>
          <w:rFonts w:ascii="宋体" w:hAnsi="宋体" w:cs="宋体"/>
          <w:bCs w:val="0"/>
          <w:sz w:val="28"/>
        </w:rPr>
      </w:pPr>
      <w:bookmarkStart w:id="369" w:name="_Toc474271682"/>
      <w:r w:rsidRPr="00481206">
        <w:rPr>
          <w:rFonts w:ascii="宋体" w:hAnsi="宋体" w:cs="宋体" w:hint="eastAsia"/>
          <w:bCs w:val="0"/>
          <w:sz w:val="28"/>
        </w:rPr>
        <w:t>7.3第三单元（共3讲）</w:t>
      </w:r>
      <w:bookmarkEnd w:id="369"/>
    </w:p>
    <w:p w:rsidR="00481206" w:rsidRPr="00481206" w:rsidRDefault="00481206" w:rsidP="00481206">
      <w:pPr>
        <w:spacing w:line="360" w:lineRule="auto"/>
        <w:ind w:firstLineChars="200" w:firstLine="480"/>
        <w:jc w:val="left"/>
        <w:outlineLvl w:val="1"/>
        <w:rPr>
          <w:rFonts w:ascii="宋体" w:hAnsi="宋体" w:cs="宋体"/>
          <w:bCs/>
          <w:sz w:val="24"/>
        </w:rPr>
      </w:pPr>
      <w:bookmarkStart w:id="370" w:name="_Toc430423227"/>
      <w:bookmarkStart w:id="371" w:name="_Toc444350208"/>
      <w:bookmarkStart w:id="372" w:name="_Toc474271683"/>
      <w:r w:rsidRPr="00481206">
        <w:rPr>
          <w:rFonts w:ascii="宋体" w:hAnsi="宋体" w:cs="宋体" w:hint="eastAsia"/>
          <w:bCs/>
          <w:sz w:val="24"/>
        </w:rPr>
        <w:t>7.3.1教学日期</w:t>
      </w:r>
      <w:bookmarkEnd w:id="370"/>
      <w:bookmarkEnd w:id="371"/>
      <w:bookmarkEnd w:id="372"/>
    </w:p>
    <w:p w:rsidR="00481206" w:rsidRPr="00481206" w:rsidRDefault="00010356" w:rsidP="00481206">
      <w:pPr>
        <w:spacing w:line="360" w:lineRule="auto"/>
        <w:ind w:firstLineChars="200" w:firstLine="480"/>
        <w:outlineLvl w:val="1"/>
        <w:rPr>
          <w:rFonts w:ascii="宋体" w:hAnsi="宋体" w:cs="宋体"/>
          <w:sz w:val="24"/>
        </w:rPr>
      </w:pPr>
      <w:bookmarkStart w:id="373" w:name="_Toc444350209"/>
      <w:bookmarkStart w:id="374" w:name="_Toc474271684"/>
      <w:r>
        <w:rPr>
          <w:rFonts w:ascii="宋体" w:hAnsi="宋体" w:cs="宋体" w:hint="eastAsia"/>
          <w:sz w:val="24"/>
        </w:rPr>
        <w:t>2017</w:t>
      </w:r>
      <w:r w:rsidR="00481206" w:rsidRPr="00481206">
        <w:rPr>
          <w:rFonts w:ascii="宋体" w:hAnsi="宋体" w:cs="宋体" w:hint="eastAsia"/>
          <w:sz w:val="24"/>
        </w:rPr>
        <w:t>年</w:t>
      </w:r>
      <w:r w:rsidR="00F76F46">
        <w:rPr>
          <w:rFonts w:ascii="宋体" w:hAnsi="宋体" w:cs="宋体" w:hint="eastAsia"/>
          <w:sz w:val="24"/>
        </w:rPr>
        <w:t>5</w:t>
      </w:r>
      <w:r w:rsidR="00481206" w:rsidRPr="00481206">
        <w:rPr>
          <w:rFonts w:ascii="宋体" w:hAnsi="宋体" w:cs="宋体" w:hint="eastAsia"/>
          <w:sz w:val="24"/>
        </w:rPr>
        <w:t>月</w:t>
      </w:r>
      <w:r w:rsidR="00F76F46">
        <w:rPr>
          <w:rFonts w:ascii="宋体" w:hAnsi="宋体" w:cs="宋体" w:hint="eastAsia"/>
          <w:sz w:val="24"/>
        </w:rPr>
        <w:t>9</w:t>
      </w:r>
      <w:r w:rsidR="00481206" w:rsidRPr="00481206">
        <w:rPr>
          <w:rFonts w:ascii="宋体" w:hAnsi="宋体" w:cs="宋体" w:hint="eastAsia"/>
          <w:sz w:val="24"/>
        </w:rPr>
        <w:t>日（</w:t>
      </w:r>
      <w:r w:rsidR="00F76F46">
        <w:rPr>
          <w:rFonts w:ascii="宋体" w:hAnsi="宋体" w:cs="宋体" w:hint="eastAsia"/>
          <w:sz w:val="24"/>
        </w:rPr>
        <w:t>周二上午3</w:t>
      </w:r>
      <w:r w:rsidR="00F76F46" w:rsidRPr="00481206">
        <w:rPr>
          <w:rFonts w:ascii="宋体" w:hAnsi="宋体" w:cs="宋体" w:hint="eastAsia"/>
          <w:sz w:val="24"/>
        </w:rPr>
        <w:t>、</w:t>
      </w:r>
      <w:r w:rsidR="00F76F46">
        <w:rPr>
          <w:rFonts w:ascii="宋体" w:hAnsi="宋体" w:cs="宋体" w:hint="eastAsia"/>
          <w:sz w:val="24"/>
        </w:rPr>
        <w:t>4</w:t>
      </w:r>
      <w:r w:rsidR="00F76F46" w:rsidRPr="00481206">
        <w:rPr>
          <w:rFonts w:ascii="宋体" w:hAnsi="宋体" w:cs="宋体" w:hint="eastAsia"/>
          <w:sz w:val="24"/>
        </w:rPr>
        <w:t>节</w:t>
      </w:r>
      <w:r w:rsidR="00481206" w:rsidRPr="00481206">
        <w:rPr>
          <w:rFonts w:ascii="宋体" w:hAnsi="宋体" w:cs="宋体" w:hint="eastAsia"/>
          <w:sz w:val="24"/>
        </w:rPr>
        <w:t>，第5讲）；</w:t>
      </w:r>
      <w:bookmarkEnd w:id="373"/>
      <w:bookmarkEnd w:id="374"/>
    </w:p>
    <w:p w:rsidR="00481206" w:rsidRPr="00481206" w:rsidRDefault="00F76F46" w:rsidP="00481206">
      <w:pPr>
        <w:spacing w:line="360" w:lineRule="auto"/>
        <w:ind w:firstLineChars="200" w:firstLine="480"/>
        <w:outlineLvl w:val="1"/>
        <w:rPr>
          <w:rFonts w:ascii="宋体" w:hAnsi="宋体" w:cs="宋体"/>
          <w:sz w:val="24"/>
        </w:rPr>
      </w:pPr>
      <w:bookmarkStart w:id="375" w:name="_Toc444350210"/>
      <w:bookmarkStart w:id="376" w:name="_Toc474271685"/>
      <w:r>
        <w:rPr>
          <w:rFonts w:ascii="宋体" w:hAnsi="宋体" w:cs="宋体" w:hint="eastAsia"/>
          <w:sz w:val="24"/>
        </w:rPr>
        <w:t>2017</w:t>
      </w:r>
      <w:r w:rsidR="00481206" w:rsidRPr="00481206">
        <w:rPr>
          <w:rFonts w:ascii="宋体" w:hAnsi="宋体" w:cs="宋体" w:hint="eastAsia"/>
          <w:sz w:val="24"/>
        </w:rPr>
        <w:t>年</w:t>
      </w:r>
      <w:r>
        <w:rPr>
          <w:rFonts w:ascii="宋体" w:hAnsi="宋体" w:cs="宋体" w:hint="eastAsia"/>
          <w:sz w:val="24"/>
        </w:rPr>
        <w:t>5</w:t>
      </w:r>
      <w:r w:rsidR="00481206" w:rsidRPr="00481206">
        <w:rPr>
          <w:rFonts w:ascii="宋体" w:hAnsi="宋体" w:cs="宋体" w:hint="eastAsia"/>
          <w:sz w:val="24"/>
        </w:rPr>
        <w:t>月1</w:t>
      </w:r>
      <w:r>
        <w:rPr>
          <w:rFonts w:ascii="宋体" w:hAnsi="宋体" w:cs="宋体" w:hint="eastAsia"/>
          <w:sz w:val="24"/>
        </w:rPr>
        <w:t>1</w:t>
      </w:r>
      <w:r w:rsidR="00481206" w:rsidRPr="00481206">
        <w:rPr>
          <w:rFonts w:ascii="宋体" w:hAnsi="宋体" w:cs="宋体" w:hint="eastAsia"/>
          <w:sz w:val="24"/>
        </w:rPr>
        <w:t>日（</w:t>
      </w:r>
      <w:r>
        <w:rPr>
          <w:rFonts w:ascii="宋体" w:hAnsi="宋体" w:cs="宋体" w:hint="eastAsia"/>
          <w:sz w:val="24"/>
        </w:rPr>
        <w:t>周四上午3</w:t>
      </w:r>
      <w:r w:rsidRPr="00481206">
        <w:rPr>
          <w:rFonts w:ascii="宋体" w:hAnsi="宋体" w:cs="宋体" w:hint="eastAsia"/>
          <w:sz w:val="24"/>
        </w:rPr>
        <w:t>、</w:t>
      </w:r>
      <w:r>
        <w:rPr>
          <w:rFonts w:ascii="宋体" w:hAnsi="宋体" w:cs="宋体" w:hint="eastAsia"/>
          <w:sz w:val="24"/>
        </w:rPr>
        <w:t>4</w:t>
      </w:r>
      <w:r w:rsidRPr="00481206">
        <w:rPr>
          <w:rFonts w:ascii="宋体" w:hAnsi="宋体" w:cs="宋体" w:hint="eastAsia"/>
          <w:sz w:val="24"/>
        </w:rPr>
        <w:t>节</w:t>
      </w:r>
      <w:r w:rsidR="00481206" w:rsidRPr="00481206">
        <w:rPr>
          <w:rFonts w:ascii="宋体" w:hAnsi="宋体" w:cs="宋体" w:hint="eastAsia"/>
          <w:sz w:val="24"/>
        </w:rPr>
        <w:t>，第6讲）；</w:t>
      </w:r>
      <w:bookmarkEnd w:id="375"/>
      <w:bookmarkEnd w:id="376"/>
    </w:p>
    <w:p w:rsidR="00481206" w:rsidRPr="00481206" w:rsidRDefault="00F76F46" w:rsidP="00481206">
      <w:pPr>
        <w:spacing w:line="360" w:lineRule="auto"/>
        <w:ind w:firstLineChars="200" w:firstLine="480"/>
        <w:outlineLvl w:val="1"/>
        <w:rPr>
          <w:rFonts w:ascii="宋体" w:hAnsi="宋体" w:cs="宋体"/>
          <w:sz w:val="24"/>
        </w:rPr>
      </w:pPr>
      <w:bookmarkStart w:id="377" w:name="_Toc444350211"/>
      <w:bookmarkStart w:id="378" w:name="_Toc474271686"/>
      <w:r>
        <w:rPr>
          <w:rFonts w:ascii="宋体" w:hAnsi="宋体" w:cs="宋体" w:hint="eastAsia"/>
          <w:sz w:val="24"/>
        </w:rPr>
        <w:t>2017</w:t>
      </w:r>
      <w:r w:rsidR="00481206" w:rsidRPr="00481206">
        <w:rPr>
          <w:rFonts w:ascii="宋体" w:hAnsi="宋体" w:cs="宋体" w:hint="eastAsia"/>
          <w:sz w:val="24"/>
        </w:rPr>
        <w:t>年</w:t>
      </w:r>
      <w:r>
        <w:rPr>
          <w:rFonts w:ascii="宋体" w:hAnsi="宋体" w:cs="宋体" w:hint="eastAsia"/>
          <w:sz w:val="24"/>
        </w:rPr>
        <w:t>5</w:t>
      </w:r>
      <w:r w:rsidR="00481206" w:rsidRPr="00481206">
        <w:rPr>
          <w:rFonts w:ascii="宋体" w:hAnsi="宋体" w:cs="宋体" w:hint="eastAsia"/>
          <w:sz w:val="24"/>
        </w:rPr>
        <w:t>月</w:t>
      </w:r>
      <w:r>
        <w:rPr>
          <w:rFonts w:ascii="宋体" w:hAnsi="宋体" w:cs="宋体" w:hint="eastAsia"/>
          <w:sz w:val="24"/>
        </w:rPr>
        <w:t>16</w:t>
      </w:r>
      <w:r w:rsidR="00481206" w:rsidRPr="00481206">
        <w:rPr>
          <w:rFonts w:ascii="宋体" w:hAnsi="宋体" w:cs="宋体" w:hint="eastAsia"/>
          <w:sz w:val="24"/>
        </w:rPr>
        <w:t>日（</w:t>
      </w:r>
      <w:r>
        <w:rPr>
          <w:rFonts w:ascii="宋体" w:hAnsi="宋体" w:cs="宋体" w:hint="eastAsia"/>
          <w:sz w:val="24"/>
        </w:rPr>
        <w:t>周二上午3</w:t>
      </w:r>
      <w:r w:rsidRPr="00481206">
        <w:rPr>
          <w:rFonts w:ascii="宋体" w:hAnsi="宋体" w:cs="宋体" w:hint="eastAsia"/>
          <w:sz w:val="24"/>
        </w:rPr>
        <w:t>、</w:t>
      </w:r>
      <w:r>
        <w:rPr>
          <w:rFonts w:ascii="宋体" w:hAnsi="宋体" w:cs="宋体" w:hint="eastAsia"/>
          <w:sz w:val="24"/>
        </w:rPr>
        <w:t>4</w:t>
      </w:r>
      <w:r w:rsidRPr="00481206">
        <w:rPr>
          <w:rFonts w:ascii="宋体" w:hAnsi="宋体" w:cs="宋体" w:hint="eastAsia"/>
          <w:sz w:val="24"/>
        </w:rPr>
        <w:t>节</w:t>
      </w:r>
      <w:r w:rsidR="00481206" w:rsidRPr="00481206">
        <w:rPr>
          <w:rFonts w:ascii="宋体" w:hAnsi="宋体" w:cs="宋体" w:hint="eastAsia"/>
          <w:sz w:val="24"/>
        </w:rPr>
        <w:t>，第7讲）。</w:t>
      </w:r>
      <w:bookmarkEnd w:id="377"/>
      <w:bookmarkEnd w:id="378"/>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r w:rsidRPr="00481206">
        <w:rPr>
          <w:rFonts w:ascii="宋体" w:hAnsi="宋体" w:cs="宋体" w:hint="eastAsia"/>
          <w:bCs/>
          <w:sz w:val="24"/>
        </w:rPr>
        <w:t xml:space="preserve"> </w:t>
      </w:r>
      <w:bookmarkStart w:id="379" w:name="_Toc430423229"/>
      <w:bookmarkStart w:id="380" w:name="_Toc444350212"/>
      <w:bookmarkStart w:id="381" w:name="_Toc474271687"/>
      <w:r w:rsidRPr="00481206">
        <w:rPr>
          <w:rFonts w:ascii="宋体" w:hAnsi="宋体" w:cs="宋体" w:hint="eastAsia"/>
          <w:bCs/>
          <w:sz w:val="24"/>
        </w:rPr>
        <w:t>7.3.2单元教学目标</w:t>
      </w:r>
      <w:bookmarkEnd w:id="379"/>
      <w:bookmarkEnd w:id="380"/>
      <w:bookmarkEnd w:id="381"/>
      <w:r w:rsidRPr="00481206">
        <w:rPr>
          <w:rFonts w:ascii="宋体" w:hAnsi="宋体" w:cs="宋体" w:hint="eastAsia"/>
          <w:bCs/>
          <w:sz w:val="24"/>
        </w:rPr>
        <w:tab/>
      </w:r>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382" w:name="_Toc430423230"/>
      <w:bookmarkStart w:id="383" w:name="_Toc444350213"/>
      <w:bookmarkStart w:id="384" w:name="_Toc474271688"/>
      <w:r w:rsidRPr="00481206">
        <w:rPr>
          <w:rFonts w:ascii="宋体" w:hAnsi="宋体" w:cs="宋体" w:hint="eastAsia"/>
          <w:sz w:val="24"/>
        </w:rPr>
        <w:t>掌握</w:t>
      </w:r>
      <w:r w:rsidRPr="00481206">
        <w:rPr>
          <w:rFonts w:hint="eastAsia"/>
          <w:bCs/>
          <w:sz w:val="24"/>
        </w:rPr>
        <w:t>货币期货、利率期货、股指期货、股票期货和互换期货</w:t>
      </w:r>
      <w:bookmarkEnd w:id="382"/>
      <w:r w:rsidRPr="00481206">
        <w:rPr>
          <w:rFonts w:hint="eastAsia"/>
          <w:bCs/>
          <w:sz w:val="24"/>
        </w:rPr>
        <w:t>产生发展的背景、主要的交易品种、交易规则，能够运用期货模拟交易软件进行各种订单操作。</w:t>
      </w:r>
      <w:bookmarkEnd w:id="383"/>
      <w:bookmarkEnd w:id="384"/>
    </w:p>
    <w:p w:rsidR="00481206" w:rsidRPr="00481206" w:rsidRDefault="00481206" w:rsidP="00481206">
      <w:pPr>
        <w:spacing w:line="360" w:lineRule="auto"/>
        <w:ind w:firstLine="480"/>
        <w:outlineLvl w:val="1"/>
        <w:rPr>
          <w:rFonts w:ascii="宋体" w:hAnsi="宋体" w:cs="宋体"/>
          <w:bCs/>
          <w:sz w:val="24"/>
        </w:rPr>
      </w:pPr>
      <w:bookmarkStart w:id="385" w:name="_Toc430423231"/>
      <w:bookmarkStart w:id="386" w:name="_Toc444350214"/>
      <w:bookmarkStart w:id="387" w:name="_Toc474271689"/>
      <w:r w:rsidRPr="00481206">
        <w:rPr>
          <w:rFonts w:ascii="宋体" w:hAnsi="宋体" w:cs="宋体" w:hint="eastAsia"/>
          <w:bCs/>
          <w:sz w:val="24"/>
        </w:rPr>
        <w:t>7.3.3单元教学内容</w:t>
      </w:r>
      <w:bookmarkEnd w:id="385"/>
      <w:bookmarkEnd w:id="386"/>
      <w:bookmarkEnd w:id="387"/>
    </w:p>
    <w:p w:rsidR="00481206" w:rsidRPr="00481206" w:rsidRDefault="00481206" w:rsidP="00481206">
      <w:pPr>
        <w:tabs>
          <w:tab w:val="left" w:pos="420"/>
        </w:tabs>
        <w:spacing w:line="360" w:lineRule="auto"/>
        <w:ind w:firstLineChars="200" w:firstLine="480"/>
        <w:outlineLvl w:val="1"/>
        <w:rPr>
          <w:rFonts w:ascii="宋体" w:hAnsi="宋体" w:cs="宋体"/>
          <w:bCs/>
          <w:sz w:val="24"/>
        </w:rPr>
      </w:pPr>
      <w:bookmarkStart w:id="388" w:name="_Toc444350215"/>
      <w:bookmarkStart w:id="389" w:name="_Toc474271690"/>
      <w:r w:rsidRPr="00481206">
        <w:rPr>
          <w:rFonts w:ascii="宋体" w:hAnsi="宋体" w:cs="宋体" w:hint="eastAsia"/>
          <w:bCs/>
          <w:sz w:val="24"/>
        </w:rPr>
        <w:t xml:space="preserve">第二章  </w:t>
      </w:r>
      <w:r w:rsidRPr="00481206">
        <w:rPr>
          <w:rFonts w:ascii="宋体" w:hAnsi="宋体" w:hint="eastAsia"/>
          <w:bCs/>
          <w:sz w:val="24"/>
        </w:rPr>
        <w:t>金融期货的主要产品</w:t>
      </w:r>
      <w:bookmarkEnd w:id="388"/>
      <w:bookmarkEnd w:id="389"/>
    </w:p>
    <w:p w:rsidR="00481206" w:rsidRPr="00481206" w:rsidRDefault="00481206" w:rsidP="00481206">
      <w:pPr>
        <w:ind w:firstLineChars="200" w:firstLine="480"/>
        <w:rPr>
          <w:rFonts w:ascii="宋体" w:hAnsi="宋体"/>
          <w:bCs/>
          <w:sz w:val="24"/>
        </w:rPr>
      </w:pPr>
      <w:r w:rsidRPr="00481206">
        <w:rPr>
          <w:rFonts w:ascii="宋体" w:hAnsi="宋体" w:hint="eastAsia"/>
          <w:bCs/>
          <w:sz w:val="24"/>
        </w:rPr>
        <w:t>第一节  货币期货</w:t>
      </w:r>
    </w:p>
    <w:p w:rsidR="00481206" w:rsidRPr="00481206" w:rsidRDefault="00481206" w:rsidP="00481206">
      <w:pPr>
        <w:spacing w:line="360" w:lineRule="auto"/>
        <w:ind w:firstLineChars="200" w:firstLine="480"/>
        <w:outlineLvl w:val="0"/>
        <w:rPr>
          <w:rFonts w:ascii="宋体" w:hAnsi="宋体"/>
          <w:bCs/>
          <w:sz w:val="24"/>
        </w:rPr>
      </w:pPr>
      <w:bookmarkStart w:id="390" w:name="_Toc444350216"/>
      <w:bookmarkStart w:id="391" w:name="_Toc474271691"/>
      <w:r w:rsidRPr="00481206">
        <w:rPr>
          <w:rFonts w:ascii="宋体" w:hAnsi="宋体" w:hint="eastAsia"/>
          <w:bCs/>
          <w:sz w:val="24"/>
        </w:rPr>
        <w:t>一、远期外汇协议</w:t>
      </w:r>
      <w:bookmarkEnd w:id="390"/>
      <w:bookmarkEnd w:id="391"/>
    </w:p>
    <w:p w:rsidR="00481206" w:rsidRPr="00481206" w:rsidRDefault="00481206" w:rsidP="00481206">
      <w:pPr>
        <w:spacing w:line="360" w:lineRule="auto"/>
        <w:ind w:firstLineChars="200" w:firstLine="480"/>
        <w:outlineLvl w:val="0"/>
        <w:rPr>
          <w:rFonts w:ascii="宋体" w:hAnsi="宋体"/>
          <w:bCs/>
          <w:sz w:val="24"/>
        </w:rPr>
      </w:pPr>
      <w:bookmarkStart w:id="392" w:name="_Toc444350217"/>
      <w:bookmarkStart w:id="393" w:name="_Toc474271692"/>
      <w:r w:rsidRPr="00481206">
        <w:rPr>
          <w:rFonts w:ascii="宋体" w:hAnsi="宋体" w:hint="eastAsia"/>
          <w:bCs/>
          <w:sz w:val="24"/>
        </w:rPr>
        <w:t>二、货币期货的产生与发展</w:t>
      </w:r>
      <w:bookmarkEnd w:id="392"/>
      <w:bookmarkEnd w:id="393"/>
    </w:p>
    <w:p w:rsidR="00481206" w:rsidRPr="00481206" w:rsidRDefault="00481206" w:rsidP="00481206">
      <w:pPr>
        <w:spacing w:line="360" w:lineRule="auto"/>
        <w:ind w:firstLineChars="200" w:firstLine="480"/>
        <w:outlineLvl w:val="0"/>
        <w:rPr>
          <w:rFonts w:ascii="宋体" w:hAnsi="宋体"/>
          <w:bCs/>
          <w:sz w:val="24"/>
        </w:rPr>
      </w:pPr>
      <w:bookmarkStart w:id="394" w:name="_Toc444350218"/>
      <w:bookmarkStart w:id="395" w:name="_Toc474271693"/>
      <w:r w:rsidRPr="00481206">
        <w:rPr>
          <w:rFonts w:ascii="宋体" w:hAnsi="宋体" w:hint="eastAsia"/>
          <w:bCs/>
          <w:sz w:val="24"/>
        </w:rPr>
        <w:t>三、货币期货的主要品种</w:t>
      </w:r>
      <w:bookmarkEnd w:id="394"/>
      <w:bookmarkEnd w:id="395"/>
    </w:p>
    <w:p w:rsidR="00481206" w:rsidRPr="00481206" w:rsidRDefault="00481206" w:rsidP="00481206">
      <w:pPr>
        <w:spacing w:line="360" w:lineRule="auto"/>
        <w:ind w:firstLineChars="200" w:firstLine="480"/>
        <w:outlineLvl w:val="0"/>
        <w:rPr>
          <w:rFonts w:ascii="宋体" w:hAnsi="宋体"/>
          <w:bCs/>
          <w:sz w:val="24"/>
        </w:rPr>
      </w:pPr>
      <w:bookmarkStart w:id="396" w:name="_Toc444350219"/>
      <w:bookmarkStart w:id="397" w:name="_Toc474271694"/>
      <w:r w:rsidRPr="00481206">
        <w:rPr>
          <w:rFonts w:ascii="宋体" w:hAnsi="宋体" w:hint="eastAsia"/>
          <w:bCs/>
          <w:sz w:val="24"/>
        </w:rPr>
        <w:t>四、货币期货的报价方式</w:t>
      </w:r>
      <w:bookmarkEnd w:id="396"/>
      <w:bookmarkEnd w:id="397"/>
    </w:p>
    <w:p w:rsidR="00481206" w:rsidRPr="00481206" w:rsidRDefault="00481206" w:rsidP="00481206">
      <w:pPr>
        <w:tabs>
          <w:tab w:val="num" w:pos="420"/>
        </w:tabs>
        <w:spacing w:line="360" w:lineRule="auto"/>
        <w:ind w:firstLineChars="200" w:firstLine="480"/>
        <w:outlineLvl w:val="0"/>
        <w:rPr>
          <w:rFonts w:ascii="宋体" w:hAnsi="宋体"/>
          <w:bCs/>
          <w:sz w:val="24"/>
        </w:rPr>
      </w:pPr>
      <w:bookmarkStart w:id="398" w:name="_Toc444350220"/>
      <w:bookmarkStart w:id="399" w:name="_Toc474271695"/>
      <w:r w:rsidRPr="00481206">
        <w:rPr>
          <w:rFonts w:ascii="宋体" w:hAnsi="宋体" w:hint="eastAsia"/>
          <w:bCs/>
          <w:sz w:val="24"/>
        </w:rPr>
        <w:t>五、货币期货的合约规格</w:t>
      </w:r>
      <w:bookmarkEnd w:id="398"/>
      <w:bookmarkEnd w:id="399"/>
    </w:p>
    <w:p w:rsidR="00481206" w:rsidRPr="00481206" w:rsidRDefault="00481206" w:rsidP="00481206">
      <w:pPr>
        <w:ind w:firstLineChars="200" w:firstLine="480"/>
        <w:rPr>
          <w:rFonts w:ascii="宋体" w:hAnsi="宋体"/>
          <w:bCs/>
          <w:sz w:val="24"/>
        </w:rPr>
      </w:pPr>
      <w:r w:rsidRPr="00481206">
        <w:rPr>
          <w:rFonts w:ascii="宋体" w:hAnsi="宋体" w:hint="eastAsia"/>
          <w:bCs/>
          <w:sz w:val="24"/>
        </w:rPr>
        <w:lastRenderedPageBreak/>
        <w:t>第二节  利率期货</w:t>
      </w:r>
    </w:p>
    <w:p w:rsidR="00481206" w:rsidRPr="00481206" w:rsidRDefault="00481206" w:rsidP="00481206">
      <w:pPr>
        <w:spacing w:line="360" w:lineRule="auto"/>
        <w:ind w:firstLineChars="200" w:firstLine="480"/>
        <w:outlineLvl w:val="0"/>
        <w:rPr>
          <w:rFonts w:ascii="宋体" w:hAnsi="宋体"/>
          <w:bCs/>
          <w:sz w:val="24"/>
        </w:rPr>
      </w:pPr>
      <w:bookmarkStart w:id="400" w:name="_Toc444350221"/>
      <w:bookmarkStart w:id="401" w:name="_Toc474271696"/>
      <w:r w:rsidRPr="00481206">
        <w:rPr>
          <w:rFonts w:ascii="宋体" w:hAnsi="宋体" w:hint="eastAsia"/>
          <w:bCs/>
          <w:sz w:val="24"/>
        </w:rPr>
        <w:t>一、远期利率协议</w:t>
      </w:r>
      <w:bookmarkEnd w:id="400"/>
      <w:bookmarkEnd w:id="401"/>
    </w:p>
    <w:p w:rsidR="00481206" w:rsidRPr="00481206" w:rsidRDefault="00481206" w:rsidP="00481206">
      <w:pPr>
        <w:spacing w:line="360" w:lineRule="auto"/>
        <w:ind w:firstLineChars="200" w:firstLine="480"/>
        <w:outlineLvl w:val="0"/>
        <w:rPr>
          <w:rFonts w:ascii="宋体" w:hAnsi="宋体"/>
          <w:bCs/>
          <w:sz w:val="24"/>
        </w:rPr>
      </w:pPr>
      <w:bookmarkStart w:id="402" w:name="_Toc444350222"/>
      <w:bookmarkStart w:id="403" w:name="_Toc474271697"/>
      <w:r w:rsidRPr="00481206">
        <w:rPr>
          <w:rFonts w:ascii="宋体" w:hAnsi="宋体" w:hint="eastAsia"/>
          <w:bCs/>
          <w:sz w:val="24"/>
        </w:rPr>
        <w:t>二、利率期货的产生与发展</w:t>
      </w:r>
      <w:bookmarkEnd w:id="402"/>
      <w:bookmarkEnd w:id="403"/>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三、利率期货的主要种类</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四、短期利率期货的交易规则</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五、长期利率期货的交易规则</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六、利率期货的交割方式</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第三节 股价指数期货</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一、股价指数期货的产生与发展</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二、股价指数期货的交易规则</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三、股指期货与股票交易的不同</w:t>
      </w:r>
    </w:p>
    <w:p w:rsidR="00481206" w:rsidRPr="00481206" w:rsidRDefault="00481206" w:rsidP="00481206">
      <w:pPr>
        <w:spacing w:line="360" w:lineRule="auto"/>
        <w:ind w:firstLineChars="195" w:firstLine="499"/>
        <w:rPr>
          <w:rFonts w:ascii="宋体" w:hAnsi="宋体" w:cs="宋体"/>
          <w:bCs/>
          <w:spacing w:val="8"/>
          <w:kern w:val="0"/>
          <w:sz w:val="24"/>
        </w:rPr>
      </w:pPr>
      <w:r w:rsidRPr="00481206">
        <w:rPr>
          <w:rFonts w:ascii="宋体" w:hAnsi="宋体" w:cs="宋体" w:hint="eastAsia"/>
          <w:bCs/>
          <w:spacing w:val="8"/>
          <w:kern w:val="0"/>
          <w:sz w:val="24"/>
        </w:rPr>
        <w:t>四、</w:t>
      </w:r>
      <w:r w:rsidRPr="00481206">
        <w:rPr>
          <w:rFonts w:ascii="宋体" w:hAnsi="宋体" w:hint="eastAsia"/>
          <w:bCs/>
          <w:sz w:val="24"/>
        </w:rPr>
        <w:t>股指期货的作用</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五、沪深300股指期货</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第四节 股票期货</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一、股票期货的定义</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二、股票期货投资相对于股票现货投资的特点</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三、股票期货的用途</w:t>
      </w:r>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404" w:name="_Toc430423240"/>
      <w:bookmarkStart w:id="405" w:name="_Toc444350223"/>
      <w:bookmarkStart w:id="406" w:name="_Toc474271698"/>
      <w:r w:rsidRPr="00481206">
        <w:rPr>
          <w:rFonts w:ascii="宋体" w:hAnsi="宋体" w:cs="宋体" w:hint="eastAsia"/>
          <w:sz w:val="24"/>
        </w:rPr>
        <w:t>【</w:t>
      </w:r>
      <w:r w:rsidRPr="00481206">
        <w:rPr>
          <w:rFonts w:ascii="宋体" w:hAnsi="宋体" w:cs="宋体" w:hint="eastAsia"/>
          <w:bCs/>
          <w:sz w:val="24"/>
        </w:rPr>
        <w:t>重点</w:t>
      </w:r>
      <w:r w:rsidRPr="00481206">
        <w:rPr>
          <w:rFonts w:ascii="宋体" w:hAnsi="宋体" w:cs="宋体" w:hint="eastAsia"/>
          <w:sz w:val="24"/>
        </w:rPr>
        <w:t>】</w:t>
      </w:r>
      <w:bookmarkEnd w:id="404"/>
      <w:bookmarkEnd w:id="405"/>
      <w:bookmarkEnd w:id="406"/>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407" w:name="_Toc430423241"/>
      <w:bookmarkStart w:id="408" w:name="_Toc444350224"/>
      <w:bookmarkStart w:id="409" w:name="_Toc474271699"/>
      <w:r w:rsidRPr="00481206">
        <w:rPr>
          <w:rFonts w:ascii="宋体" w:hAnsi="宋体" w:cs="宋体" w:hint="eastAsia"/>
          <w:sz w:val="24"/>
        </w:rPr>
        <w:t>各种期货合约的交易规则。</w:t>
      </w:r>
      <w:bookmarkEnd w:id="407"/>
      <w:bookmarkEnd w:id="408"/>
      <w:bookmarkEnd w:id="409"/>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410" w:name="_Toc430423242"/>
      <w:bookmarkStart w:id="411" w:name="_Toc444350225"/>
      <w:bookmarkStart w:id="412" w:name="_Toc474271700"/>
      <w:r w:rsidRPr="00481206">
        <w:rPr>
          <w:rFonts w:ascii="宋体" w:hAnsi="宋体" w:cs="宋体" w:hint="eastAsia"/>
          <w:sz w:val="24"/>
        </w:rPr>
        <w:t>【</w:t>
      </w:r>
      <w:r w:rsidRPr="00481206">
        <w:rPr>
          <w:rFonts w:ascii="宋体" w:hAnsi="宋体" w:cs="宋体" w:hint="eastAsia"/>
          <w:bCs/>
          <w:sz w:val="24"/>
        </w:rPr>
        <w:t>难点】</w:t>
      </w:r>
      <w:bookmarkEnd w:id="410"/>
      <w:bookmarkEnd w:id="411"/>
      <w:bookmarkEnd w:id="412"/>
    </w:p>
    <w:p w:rsidR="00481206" w:rsidRPr="00481206" w:rsidRDefault="00481206" w:rsidP="00481206">
      <w:pPr>
        <w:spacing w:line="360" w:lineRule="auto"/>
        <w:outlineLvl w:val="1"/>
        <w:rPr>
          <w:rFonts w:ascii="宋体" w:hAnsi="宋体" w:cs="宋体"/>
          <w:sz w:val="24"/>
        </w:rPr>
      </w:pPr>
      <w:bookmarkStart w:id="413" w:name="_Toc430423243"/>
      <w:bookmarkStart w:id="414" w:name="_Toc444350226"/>
      <w:bookmarkStart w:id="415" w:name="_Toc474271701"/>
      <w:r w:rsidRPr="00481206">
        <w:rPr>
          <w:rFonts w:ascii="宋体" w:hAnsi="宋体" w:cs="宋体" w:hint="eastAsia"/>
          <w:sz w:val="24"/>
        </w:rPr>
        <w:t></w:t>
      </w:r>
      <w:r w:rsidRPr="00481206">
        <w:rPr>
          <w:rFonts w:ascii="宋体" w:hAnsi="宋体" w:cs="宋体" w:hint="eastAsia"/>
          <w:sz w:val="24"/>
        </w:rPr>
        <w:tab/>
        <w:t xml:space="preserve"> 各种期货合约交割价格的确定。</w:t>
      </w:r>
      <w:bookmarkEnd w:id="413"/>
      <w:bookmarkEnd w:id="414"/>
      <w:bookmarkEnd w:id="415"/>
    </w:p>
    <w:p w:rsidR="00481206" w:rsidRPr="00481206" w:rsidRDefault="00481206" w:rsidP="00481206">
      <w:pPr>
        <w:spacing w:line="360" w:lineRule="auto"/>
        <w:ind w:firstLineChars="200" w:firstLine="480"/>
        <w:outlineLvl w:val="1"/>
        <w:rPr>
          <w:rFonts w:ascii="宋体" w:hAnsi="宋体" w:cs="宋体"/>
          <w:bCs/>
          <w:sz w:val="24"/>
        </w:rPr>
      </w:pPr>
      <w:bookmarkStart w:id="416" w:name="_Toc430423244"/>
      <w:bookmarkStart w:id="417" w:name="_Toc444350227"/>
      <w:bookmarkStart w:id="418" w:name="_Toc474271702"/>
      <w:r w:rsidRPr="00481206">
        <w:rPr>
          <w:rFonts w:ascii="宋体" w:hAnsi="宋体" w:cs="宋体" w:hint="eastAsia"/>
          <w:bCs/>
          <w:sz w:val="24"/>
        </w:rPr>
        <w:t>7.3.4单元教学过程（共3讲）</w:t>
      </w:r>
      <w:bookmarkEnd w:id="416"/>
      <w:bookmarkEnd w:id="417"/>
      <w:bookmarkEnd w:id="418"/>
    </w:p>
    <w:p w:rsidR="00481206" w:rsidRPr="00481206" w:rsidRDefault="00481206" w:rsidP="00481206">
      <w:pPr>
        <w:numPr>
          <w:ilvl w:val="0"/>
          <w:numId w:val="3"/>
        </w:numPr>
        <w:tabs>
          <w:tab w:val="left" w:pos="420"/>
        </w:tabs>
        <w:spacing w:line="360" w:lineRule="auto"/>
        <w:ind w:left="840"/>
        <w:outlineLvl w:val="1"/>
        <w:rPr>
          <w:rFonts w:ascii="宋体" w:hAnsi="宋体" w:cs="宋体"/>
          <w:bCs/>
          <w:sz w:val="24"/>
        </w:rPr>
      </w:pPr>
      <w:bookmarkStart w:id="419" w:name="_Toc430423245"/>
      <w:bookmarkStart w:id="420" w:name="_Toc444350228"/>
      <w:bookmarkStart w:id="421" w:name="_Toc474271703"/>
      <w:r w:rsidRPr="00481206">
        <w:rPr>
          <w:rFonts w:ascii="宋体" w:hAnsi="宋体" w:cs="宋体" w:hint="eastAsia"/>
          <w:bCs/>
          <w:sz w:val="24"/>
        </w:rPr>
        <w:t>第5讲（共90分钟）</w:t>
      </w:r>
      <w:bookmarkEnd w:id="419"/>
      <w:bookmarkEnd w:id="420"/>
      <w:bookmarkEnd w:id="421"/>
    </w:p>
    <w:p w:rsidR="00481206" w:rsidRPr="00481206" w:rsidRDefault="00481206" w:rsidP="00481206">
      <w:pPr>
        <w:tabs>
          <w:tab w:val="left" w:pos="420"/>
        </w:tabs>
        <w:spacing w:line="360" w:lineRule="auto"/>
        <w:ind w:leftChars="200" w:left="420" w:firstLineChars="1000" w:firstLine="2400"/>
        <w:outlineLvl w:val="1"/>
        <w:rPr>
          <w:rFonts w:ascii="宋体" w:hAnsi="宋体" w:cs="宋体"/>
          <w:bCs/>
          <w:sz w:val="24"/>
        </w:rPr>
      </w:pPr>
      <w:bookmarkStart w:id="422" w:name="_Toc444350229"/>
      <w:bookmarkStart w:id="423" w:name="_Toc474271704"/>
      <w:r w:rsidRPr="00481206">
        <w:rPr>
          <w:rFonts w:ascii="宋体" w:hAnsi="宋体" w:cs="宋体" w:hint="eastAsia"/>
          <w:bCs/>
          <w:sz w:val="24"/>
        </w:rPr>
        <w:t xml:space="preserve">第二章  </w:t>
      </w:r>
      <w:r w:rsidRPr="00481206">
        <w:rPr>
          <w:rFonts w:ascii="宋体" w:hAnsi="宋体" w:hint="eastAsia"/>
          <w:bCs/>
          <w:sz w:val="24"/>
        </w:rPr>
        <w:t>金融期货的主要产品</w:t>
      </w:r>
      <w:bookmarkEnd w:id="422"/>
      <w:bookmarkEnd w:id="423"/>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金融期货大致可分为五大类：一是货币期货；二是利率期货；三是股指期货；四是股票期货；五是互换期货。在各个大类的金融期货中，又可根据合约标的物的不同再分为各种具体的产品。不同种类的金融期货，或同一种类的不同产品，往往有着不同的交易规则。</w:t>
      </w:r>
    </w:p>
    <w:p w:rsidR="00481206" w:rsidRPr="00481206" w:rsidRDefault="00481206" w:rsidP="00481206">
      <w:pPr>
        <w:jc w:val="center"/>
        <w:rPr>
          <w:rFonts w:ascii="宋体" w:hAnsi="宋体"/>
          <w:bCs/>
          <w:sz w:val="24"/>
        </w:rPr>
      </w:pPr>
      <w:r w:rsidRPr="00481206">
        <w:rPr>
          <w:rFonts w:ascii="宋体" w:hAnsi="宋体" w:hint="eastAsia"/>
          <w:bCs/>
          <w:sz w:val="24"/>
        </w:rPr>
        <w:t>第一节 货币期货</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货币期货最早于1972年在美国产生，由于当时的标的货币对美国而言都是外汇，</w:t>
      </w:r>
      <w:r w:rsidRPr="00481206">
        <w:rPr>
          <w:rFonts w:ascii="宋体" w:hAnsi="宋体" w:hint="eastAsia"/>
          <w:bCs/>
          <w:sz w:val="24"/>
        </w:rPr>
        <w:lastRenderedPageBreak/>
        <w:t>甚至到目前为止，美国的期货市场都没有以美元为标的货币的期货合约，因此美国期货市场一直将这类期货成为“外汇期货”。但在其他国家都推出了以本币作为标的货币的货币期货合约，因此该类期货已被普遍成为“货币期货”。</w:t>
      </w:r>
    </w:p>
    <w:p w:rsidR="00481206" w:rsidRPr="00481206" w:rsidRDefault="00481206" w:rsidP="00481206">
      <w:pPr>
        <w:spacing w:line="360" w:lineRule="auto"/>
        <w:ind w:firstLineChars="200" w:firstLine="480"/>
        <w:outlineLvl w:val="0"/>
        <w:rPr>
          <w:rFonts w:ascii="宋体" w:hAnsi="宋体"/>
          <w:bCs/>
          <w:sz w:val="24"/>
        </w:rPr>
      </w:pPr>
      <w:bookmarkStart w:id="424" w:name="_Toc444350230"/>
      <w:bookmarkStart w:id="425" w:name="_Toc474271705"/>
      <w:r w:rsidRPr="00481206">
        <w:rPr>
          <w:rFonts w:ascii="宋体" w:hAnsi="宋体" w:hint="eastAsia"/>
          <w:bCs/>
          <w:sz w:val="24"/>
        </w:rPr>
        <w:t>一、远期外汇协议</w:t>
      </w:r>
      <w:bookmarkEnd w:id="424"/>
      <w:bookmarkEnd w:id="425"/>
    </w:p>
    <w:p w:rsidR="00481206" w:rsidRPr="00481206" w:rsidRDefault="00481206" w:rsidP="00481206">
      <w:pPr>
        <w:spacing w:line="360" w:lineRule="auto"/>
        <w:ind w:firstLineChars="147" w:firstLine="353"/>
        <w:outlineLvl w:val="0"/>
        <w:rPr>
          <w:rFonts w:ascii="宋体" w:hAnsi="宋体"/>
          <w:bCs/>
          <w:sz w:val="24"/>
        </w:rPr>
      </w:pPr>
      <w:bookmarkStart w:id="426" w:name="_Toc444350231"/>
      <w:bookmarkStart w:id="427" w:name="_Toc474271706"/>
      <w:r w:rsidRPr="00481206">
        <w:rPr>
          <w:rFonts w:ascii="宋体" w:hAnsi="宋体" w:hint="eastAsia"/>
          <w:bCs/>
          <w:sz w:val="24"/>
        </w:rPr>
        <w:t>（一）即期外汇交易</w:t>
      </w:r>
      <w:bookmarkEnd w:id="426"/>
      <w:bookmarkEnd w:id="427"/>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1.即期外汇交易，又称现汇买卖，是交易双方以当时外汇市场的价格成交，并在成交后的两个营业日内办理有关货币收付交割的外汇交易。</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例如：2003年5月14日纽约花期银行和日本东京银行通过电话达成一项外汇买卖业务，花期银行愿意按照1美元兑换107.60日元的汇率卖出100万美元，买入10760万日元；而东京银行也愿意按同样的汇率卖出10760万日元，买入100万美元。5月15日，花期银行和东京银行分别按照对方的要求，将卖出的货币汇入对方指定的账户中，从而完成这项交易。</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2.即期汇率的标价方法</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即期交易的汇率又叫做即期汇率，或称现汇汇率。标价方法有：</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直接标价法：即固定外国货币的单位数量，以本国货币表示这一固定数量的外国货币的价格。例如，我国每100美元的人民币价格，就是直接标价法。</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间接标价法：即固定本国货币的单位数量，以外国货币表示这一固定数量的本国货币的价格。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在直接标价法下，汇率的数值越大，意味着一定单位的外国货币可以兑换越多的本国货币，也就是本国货币的币值越低；间接标价则相反。</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一般来讲，原英联邦国家的货币（如英镑、澳大利亚元和新西兰元等）采用间接标价法（即1单位该货币等值美元标价），其他国家的货币采用直接标价法（即1单位美元等值的该货币的标价）。</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外汇的买入价就是报价行愿意以此价买入标的货币的汇价；卖出价是指报价行愿意以此价卖出标的货币的汇价；买入价和卖出价之间的价格差为价差。一般来讲，银行和客户之间的交易大多数按照银行报出的汇价买卖外汇，少数的按照客户要求作限价交易。</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比如：USD1=HKD7.7944——7.7951      44/51</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 xml:space="preserve">             （买入价）  （卖出价）</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 xml:space="preserve">      USD1=JPY137.31——137.41       31/41</w:t>
      </w:r>
    </w:p>
    <w:p w:rsidR="00481206" w:rsidRPr="00481206" w:rsidRDefault="00481206" w:rsidP="00481206">
      <w:pPr>
        <w:spacing w:line="360" w:lineRule="auto"/>
        <w:ind w:firstLineChars="800" w:firstLine="1920"/>
        <w:outlineLvl w:val="0"/>
        <w:rPr>
          <w:rFonts w:ascii="宋体" w:hAnsi="宋体"/>
          <w:bCs/>
          <w:sz w:val="24"/>
        </w:rPr>
      </w:pPr>
      <w:r w:rsidRPr="00481206">
        <w:rPr>
          <w:rFonts w:ascii="宋体" w:hAnsi="宋体" w:hint="eastAsia"/>
          <w:bCs/>
          <w:sz w:val="24"/>
        </w:rPr>
        <w:t xml:space="preserve"> </w:t>
      </w:r>
      <w:bookmarkStart w:id="428" w:name="_Toc444350232"/>
      <w:bookmarkStart w:id="429" w:name="_Toc474271707"/>
      <w:r w:rsidRPr="00481206">
        <w:rPr>
          <w:rFonts w:ascii="宋体" w:hAnsi="宋体" w:hint="eastAsia"/>
          <w:bCs/>
          <w:sz w:val="24"/>
        </w:rPr>
        <w:t>（买入价）  （卖出价）</w:t>
      </w:r>
      <w:bookmarkEnd w:id="428"/>
      <w:bookmarkEnd w:id="429"/>
      <w:r w:rsidRPr="00481206">
        <w:rPr>
          <w:rFonts w:ascii="宋体" w:hAnsi="宋体" w:hint="eastAsia"/>
          <w:bCs/>
          <w:sz w:val="24"/>
        </w:rPr>
        <w:t xml:space="preserve"> </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lastRenderedPageBreak/>
        <w:t>通常各个银行的交易员在报价时只取最末的两位数，因为前面几位数只有在外汇市场发生剧烈动荡时才会变化，一般情况下，频繁变动的只是最末的两位数，如汇率为138.75——138.85时，就报75/85。</w:t>
      </w:r>
    </w:p>
    <w:p w:rsidR="00481206" w:rsidRPr="00481206" w:rsidRDefault="00481206" w:rsidP="00481206">
      <w:pPr>
        <w:spacing w:line="360" w:lineRule="auto"/>
        <w:ind w:firstLineChars="147" w:firstLine="353"/>
        <w:outlineLvl w:val="0"/>
        <w:rPr>
          <w:rFonts w:ascii="宋体" w:hAnsi="宋体"/>
          <w:bCs/>
          <w:sz w:val="24"/>
        </w:rPr>
      </w:pPr>
      <w:bookmarkStart w:id="430" w:name="_Toc444350233"/>
      <w:bookmarkStart w:id="431" w:name="_Toc474271708"/>
      <w:r w:rsidRPr="00481206">
        <w:rPr>
          <w:rFonts w:ascii="宋体" w:hAnsi="宋体" w:hint="eastAsia"/>
          <w:bCs/>
          <w:sz w:val="24"/>
        </w:rPr>
        <w:t>（二）远期外汇协议</w:t>
      </w:r>
      <w:bookmarkEnd w:id="430"/>
      <w:bookmarkEnd w:id="431"/>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1.远期外汇协议的概念：</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远期外汇协议就是指双方约定在将来的某一时间按照约定的远期汇率买卖一定数量金额的某种外汇的合约。交易双方在签订合同时，就确定好了将来交割的远期汇率，到时不论汇价如何变化，都应按此汇率交割。在交割时采用现金结算，只交割合同中规定的远期汇率与当时的即期汇率之间的差额。</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2.远期外汇协议的分类</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按照远期的开始时期划分，远期外汇协议又可分为直接远期外汇合约和远期外汇综合协议。前者的远期期限是直接从现在开始算的，后者的远期期限是从未来的某个时点开始算的，因此实际上是远期的远期外汇合约。比如1*4远期外汇综合协议是指从起算日之后的一个月（结算日）开始计算的为期3个月的远期外汇综合协议。</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3.远期汇率</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远期汇率（forward rate）就是指两种货币在未来的某一日期交割的买卖价格。主要有两种标价方法：一种是直接标出远期汇率的实际价格；另一种是报出远期汇率与即期汇率的价差，即远期差价(forward margin)，也叫做远期汇水。升水(premium)是远期汇率高于即期汇率时的差额；贴水(discount)是远期汇率低于即期汇率时的差额。就两种货币而言，一种货币的升水必然是另一种货币的贴水。</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在不同的汇率标价方式下，远期汇率的计算方法不同。</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直接标价法下：远期汇率=即期汇率+升水，或远期汇率=即期汇率-贴水</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间接标价法下：远期汇率=即期汇率-升水，或远期汇率=即期汇率+贴水</w:t>
      </w:r>
    </w:p>
    <w:p w:rsidR="00481206" w:rsidRPr="00481206" w:rsidRDefault="00481206" w:rsidP="00481206">
      <w:pPr>
        <w:spacing w:line="360" w:lineRule="auto"/>
        <w:ind w:firstLineChars="200" w:firstLine="480"/>
        <w:outlineLvl w:val="0"/>
        <w:rPr>
          <w:rFonts w:ascii="宋体" w:hAnsi="宋体"/>
          <w:bCs/>
          <w:sz w:val="24"/>
        </w:rPr>
      </w:pPr>
      <w:bookmarkStart w:id="432" w:name="_Toc444350234"/>
      <w:bookmarkStart w:id="433" w:name="_Toc474271709"/>
      <w:r w:rsidRPr="00481206">
        <w:rPr>
          <w:rFonts w:ascii="宋体" w:hAnsi="宋体" w:hint="eastAsia"/>
          <w:bCs/>
          <w:sz w:val="24"/>
        </w:rPr>
        <w:t>二、货币期货的产生与发展</w:t>
      </w:r>
      <w:bookmarkEnd w:id="432"/>
      <w:bookmarkEnd w:id="433"/>
    </w:p>
    <w:p w:rsidR="00481206" w:rsidRPr="00481206" w:rsidRDefault="00481206" w:rsidP="00481206">
      <w:pPr>
        <w:spacing w:line="360" w:lineRule="auto"/>
        <w:ind w:left="420"/>
        <w:rPr>
          <w:rFonts w:ascii="宋体" w:hAnsi="宋体"/>
          <w:bCs/>
          <w:sz w:val="24"/>
        </w:rPr>
      </w:pPr>
      <w:r w:rsidRPr="00481206">
        <w:rPr>
          <w:rFonts w:ascii="宋体" w:hAnsi="宋体" w:hint="eastAsia"/>
          <w:bCs/>
          <w:sz w:val="24"/>
        </w:rPr>
        <w:t>（一）货币期货的产生的背景</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货币期货产生于1972年5月，当时之所以会产生货币期货，主要是由于布雷顿森林体系的崩溃、汇率风险急剧增大这一特定的历史背景所决定的。</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20</w:t>
      </w:r>
      <w:r w:rsidRPr="00481206">
        <w:rPr>
          <w:rFonts w:ascii="宋体" w:hAnsi="宋体"/>
          <w:bCs/>
          <w:sz w:val="24"/>
        </w:rPr>
        <w:t>世纪70年代初</w:t>
      </w:r>
      <w:r w:rsidRPr="00481206">
        <w:rPr>
          <w:rFonts w:ascii="宋体" w:hAnsi="宋体" w:hint="eastAsia"/>
          <w:bCs/>
          <w:sz w:val="24"/>
        </w:rPr>
        <w:t>“</w:t>
      </w:r>
      <w:hyperlink r:id="rId28" w:tgtFrame="_blank" w:history="1">
        <w:r w:rsidRPr="00481206">
          <w:rPr>
            <w:rFonts w:ascii="宋体" w:hAnsi="宋体"/>
            <w:bCs/>
            <w:sz w:val="24"/>
          </w:rPr>
          <w:t>布雷顿森林体系</w:t>
        </w:r>
      </w:hyperlink>
      <w:r w:rsidRPr="00481206">
        <w:rPr>
          <w:rFonts w:ascii="宋体" w:hAnsi="宋体" w:hint="eastAsia"/>
          <w:bCs/>
          <w:sz w:val="24"/>
        </w:rPr>
        <w:t>”</w:t>
      </w:r>
      <w:r w:rsidRPr="00481206">
        <w:rPr>
          <w:rFonts w:ascii="宋体" w:hAnsi="宋体"/>
          <w:bCs/>
          <w:sz w:val="24"/>
        </w:rPr>
        <w:t>的解体使固定汇率体制被浮动汇率体制所取代，主要西方国家的货币纷纷与美元脱钩，汇率波动频繁，市场风险加大。同时经济的全球化使得越来越多的企业面临汇率波动的风险，市场迫切需要规避这种风险的工具，</w:t>
      </w:r>
      <w:r w:rsidRPr="00481206">
        <w:rPr>
          <w:rFonts w:ascii="宋体" w:hAnsi="宋体"/>
          <w:bCs/>
          <w:sz w:val="24"/>
        </w:rPr>
        <w:lastRenderedPageBreak/>
        <w:t>货币期货就是在这种背景下产生。</w:t>
      </w:r>
    </w:p>
    <w:p w:rsidR="00481206" w:rsidRPr="00481206" w:rsidRDefault="00481206" w:rsidP="00481206">
      <w:pPr>
        <w:spacing w:line="360" w:lineRule="auto"/>
        <w:ind w:left="420"/>
        <w:rPr>
          <w:rFonts w:ascii="宋体" w:hAnsi="宋体"/>
          <w:bCs/>
          <w:sz w:val="24"/>
        </w:rPr>
      </w:pPr>
      <w:r w:rsidRPr="00481206">
        <w:rPr>
          <w:rFonts w:ascii="宋体" w:hAnsi="宋体" w:hint="eastAsia"/>
          <w:bCs/>
          <w:sz w:val="24"/>
        </w:rPr>
        <w:t>（二）货币期货的发展</w:t>
      </w:r>
    </w:p>
    <w:p w:rsidR="00481206" w:rsidRPr="00481206" w:rsidRDefault="00481206" w:rsidP="00481206">
      <w:pPr>
        <w:spacing w:line="360" w:lineRule="auto"/>
        <w:ind w:firstLineChars="250" w:firstLine="600"/>
        <w:rPr>
          <w:rFonts w:ascii="宋体" w:hAnsi="宋体"/>
          <w:bCs/>
          <w:sz w:val="24"/>
        </w:rPr>
      </w:pPr>
      <w:r w:rsidRPr="00481206">
        <w:rPr>
          <w:rFonts w:ascii="宋体" w:hAnsi="宋体"/>
          <w:bCs/>
          <w:sz w:val="24"/>
        </w:rPr>
        <w:t>最早的有形货币期货市场是成立于1972年5月的</w:t>
      </w:r>
      <w:hyperlink r:id="rId29" w:tgtFrame="_blank" w:history="1">
        <w:r w:rsidRPr="00481206">
          <w:rPr>
            <w:rFonts w:ascii="宋体" w:hAnsi="宋体"/>
            <w:bCs/>
            <w:sz w:val="24"/>
          </w:rPr>
          <w:t>国际货币市场</w:t>
        </w:r>
      </w:hyperlink>
      <w:r w:rsidRPr="00481206">
        <w:rPr>
          <w:rFonts w:ascii="宋体" w:hAnsi="宋体"/>
          <w:bCs/>
          <w:sz w:val="24"/>
        </w:rPr>
        <w:t>（InternationalMonetaryMarket），简称IMM，它是芝加哥商业交易所的一个分支。开始</w:t>
      </w:r>
      <w:r w:rsidRPr="00481206">
        <w:rPr>
          <w:rFonts w:ascii="宋体" w:hAnsi="宋体" w:hint="eastAsia"/>
          <w:bCs/>
          <w:sz w:val="24"/>
        </w:rPr>
        <w:t>主</w:t>
      </w:r>
      <w:r w:rsidRPr="00481206">
        <w:rPr>
          <w:rFonts w:ascii="宋体" w:hAnsi="宋体"/>
          <w:bCs/>
          <w:sz w:val="24"/>
        </w:rPr>
        <w:t>要交易品种是六种国际货币的期货合约，即美元、英镑、加拿大元、德国马克、日元、瑞上法郎</w:t>
      </w:r>
      <w:r w:rsidRPr="00481206">
        <w:rPr>
          <w:rFonts w:ascii="宋体" w:hAnsi="宋体" w:hint="eastAsia"/>
          <w:bCs/>
          <w:sz w:val="24"/>
        </w:rPr>
        <w:t>。</w:t>
      </w:r>
      <w:r w:rsidRPr="00481206">
        <w:rPr>
          <w:rFonts w:ascii="宋体" w:hAnsi="宋体"/>
          <w:bCs/>
          <w:sz w:val="24"/>
        </w:rPr>
        <w:t>伦敦国际金融期货期权交易所是另一家重要的货币交易所，它成立丁1982年，主要交易品种有</w:t>
      </w:r>
      <w:hyperlink r:id="rId30" w:tgtFrame="_blank" w:history="1">
        <w:r w:rsidRPr="00481206">
          <w:rPr>
            <w:rFonts w:ascii="宋体" w:hAnsi="宋体"/>
            <w:bCs/>
            <w:sz w:val="24"/>
          </w:rPr>
          <w:t>英镑</w:t>
        </w:r>
      </w:hyperlink>
      <w:r w:rsidRPr="00481206">
        <w:rPr>
          <w:rFonts w:ascii="宋体" w:hAnsi="宋体"/>
          <w:bCs/>
          <w:sz w:val="24"/>
        </w:rPr>
        <w:t>、</w:t>
      </w:r>
      <w:hyperlink r:id="rId31" w:tgtFrame="_blank" w:history="1">
        <w:r w:rsidRPr="00481206">
          <w:rPr>
            <w:rFonts w:ascii="宋体" w:hAnsi="宋体"/>
            <w:bCs/>
            <w:sz w:val="24"/>
          </w:rPr>
          <w:t>瑞士法郎</w:t>
        </w:r>
      </w:hyperlink>
      <w:r w:rsidRPr="00481206">
        <w:rPr>
          <w:rFonts w:ascii="宋体" w:hAnsi="宋体"/>
          <w:bCs/>
          <w:sz w:val="24"/>
        </w:rPr>
        <w:t>、</w:t>
      </w:r>
      <w:hyperlink r:id="rId32" w:tgtFrame="_blank" w:history="1">
        <w:r w:rsidRPr="00481206">
          <w:rPr>
            <w:rFonts w:ascii="宋体" w:hAnsi="宋体"/>
            <w:bCs/>
            <w:sz w:val="24"/>
          </w:rPr>
          <w:t>德国马克</w:t>
        </w:r>
      </w:hyperlink>
      <w:r w:rsidRPr="00481206">
        <w:rPr>
          <w:rFonts w:ascii="宋体" w:hAnsi="宋体"/>
          <w:bCs/>
          <w:sz w:val="24"/>
        </w:rPr>
        <w:t>、</w:t>
      </w:r>
      <w:hyperlink r:id="rId33" w:tgtFrame="_blank" w:history="1">
        <w:r w:rsidRPr="00481206">
          <w:rPr>
            <w:rFonts w:ascii="宋体" w:hAnsi="宋体"/>
            <w:bCs/>
            <w:sz w:val="24"/>
          </w:rPr>
          <w:t>日元</w:t>
        </w:r>
      </w:hyperlink>
      <w:r w:rsidRPr="00481206">
        <w:rPr>
          <w:rFonts w:ascii="宋体" w:hAnsi="宋体"/>
          <w:bCs/>
          <w:sz w:val="24"/>
        </w:rPr>
        <w:t>、</w:t>
      </w:r>
      <w:hyperlink r:id="rId34" w:tgtFrame="_blank" w:history="1">
        <w:r w:rsidRPr="00481206">
          <w:rPr>
            <w:rFonts w:ascii="宋体" w:hAnsi="宋体"/>
            <w:bCs/>
            <w:sz w:val="24"/>
          </w:rPr>
          <w:t>美元</w:t>
        </w:r>
      </w:hyperlink>
      <w:r w:rsidRPr="00481206">
        <w:rPr>
          <w:rFonts w:ascii="宋体" w:hAnsi="宋体"/>
          <w:bCs/>
          <w:sz w:val="24"/>
        </w:rPr>
        <w:t>的期货合约及期权。此后，</w:t>
      </w:r>
      <w:hyperlink r:id="rId35" w:tgtFrame="_blank" w:history="1">
        <w:r w:rsidRPr="00481206">
          <w:rPr>
            <w:rFonts w:ascii="宋体" w:hAnsi="宋体"/>
            <w:bCs/>
            <w:sz w:val="24"/>
          </w:rPr>
          <w:t>澳大利亚</w:t>
        </w:r>
      </w:hyperlink>
      <w:r w:rsidRPr="00481206">
        <w:rPr>
          <w:rFonts w:ascii="宋体" w:hAnsi="宋体"/>
          <w:bCs/>
          <w:sz w:val="24"/>
        </w:rPr>
        <w:t>、</w:t>
      </w:r>
      <w:hyperlink r:id="rId36" w:tgtFrame="_blank" w:history="1">
        <w:r w:rsidRPr="00481206">
          <w:rPr>
            <w:rFonts w:ascii="宋体" w:hAnsi="宋体"/>
            <w:bCs/>
            <w:sz w:val="24"/>
          </w:rPr>
          <w:t>加拿大</w:t>
        </w:r>
      </w:hyperlink>
      <w:r w:rsidRPr="00481206">
        <w:rPr>
          <w:rFonts w:ascii="宋体" w:hAnsi="宋体"/>
          <w:bCs/>
          <w:sz w:val="24"/>
        </w:rPr>
        <w:t>、</w:t>
      </w:r>
      <w:hyperlink r:id="rId37" w:tgtFrame="_blank" w:history="1">
        <w:r w:rsidRPr="00481206">
          <w:rPr>
            <w:rFonts w:ascii="宋体" w:hAnsi="宋体"/>
            <w:bCs/>
            <w:sz w:val="24"/>
          </w:rPr>
          <w:t>荷兰</w:t>
        </w:r>
      </w:hyperlink>
      <w:r w:rsidRPr="00481206">
        <w:rPr>
          <w:rFonts w:ascii="宋体" w:hAnsi="宋体"/>
          <w:bCs/>
          <w:sz w:val="24"/>
        </w:rPr>
        <w:t>、</w:t>
      </w:r>
      <w:hyperlink r:id="rId38" w:tgtFrame="_blank" w:history="1">
        <w:r w:rsidRPr="00481206">
          <w:rPr>
            <w:rFonts w:ascii="宋体" w:hAnsi="宋体"/>
            <w:bCs/>
            <w:sz w:val="24"/>
          </w:rPr>
          <w:t>新加坡</w:t>
        </w:r>
      </w:hyperlink>
      <w:r w:rsidRPr="00481206">
        <w:rPr>
          <w:rFonts w:ascii="宋体" w:hAnsi="宋体"/>
          <w:bCs/>
          <w:sz w:val="24"/>
        </w:rPr>
        <w:t>等国又陆续成立了多家货币期货交易所。</w:t>
      </w:r>
      <w:r w:rsidRPr="00481206">
        <w:rPr>
          <w:rFonts w:ascii="宋体" w:hAnsi="宋体" w:hint="eastAsia"/>
          <w:bCs/>
          <w:sz w:val="24"/>
        </w:rPr>
        <w:t>有的在原有的期货交易所或证券交易所推出各种货币期货合约；有的则是成立各种专业化的金融期货合约。</w:t>
      </w:r>
    </w:p>
    <w:p w:rsidR="00481206" w:rsidRPr="00481206" w:rsidRDefault="00481206" w:rsidP="00481206">
      <w:pPr>
        <w:spacing w:line="360" w:lineRule="auto"/>
        <w:ind w:firstLineChars="250" w:firstLine="600"/>
        <w:rPr>
          <w:rFonts w:ascii="宋体" w:hAnsi="宋体"/>
          <w:bCs/>
          <w:sz w:val="24"/>
        </w:rPr>
      </w:pPr>
      <w:r w:rsidRPr="00481206">
        <w:rPr>
          <w:rFonts w:ascii="宋体" w:hAnsi="宋体" w:hint="eastAsia"/>
          <w:bCs/>
          <w:sz w:val="24"/>
        </w:rPr>
        <w:t>由此可以看出，货币期货的产生，满足了人们规避风险的需求，因此货币期货自产生以来就得到了飞速发展。这种发展主要体现在如下三个方面：</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一是货币期货的品种不断增多；二是货币期货的市场不断扩展；三是货币期货的成交量直线上升。</w:t>
      </w:r>
    </w:p>
    <w:p w:rsidR="00481206" w:rsidRPr="00481206" w:rsidRDefault="00481206" w:rsidP="00481206">
      <w:pPr>
        <w:spacing w:line="360" w:lineRule="auto"/>
        <w:ind w:firstLineChars="200" w:firstLine="480"/>
        <w:outlineLvl w:val="0"/>
        <w:rPr>
          <w:rFonts w:ascii="宋体" w:hAnsi="宋体"/>
          <w:bCs/>
          <w:sz w:val="24"/>
        </w:rPr>
      </w:pPr>
      <w:bookmarkStart w:id="434" w:name="_Toc444350235"/>
      <w:bookmarkStart w:id="435" w:name="_Toc474271710"/>
      <w:r w:rsidRPr="00481206">
        <w:rPr>
          <w:rFonts w:ascii="宋体" w:hAnsi="宋体" w:hint="eastAsia"/>
          <w:bCs/>
          <w:sz w:val="24"/>
        </w:rPr>
        <w:t>三、货币期货的主要品种</w:t>
      </w:r>
      <w:bookmarkEnd w:id="434"/>
      <w:bookmarkEnd w:id="435"/>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目前全世界规模最大的货币期货市场就是美国的芝加哥商业交易所（CME），迄今为止该市场上市的货币期货合约多达数十种。除了传统的英镑期货、日元期货、澳元期货等，现在还有欧元期货、卢布期货、墨西哥比索期货、新西兰元期货等，所有这些货币期货的共同特点就是均是以美元计价，并以美元结算。近年来，CME又推出了各种交叉汇率期货，即以美元之外的其他各种货币计价和结算的货币期货。教材中的表2-1列出了CEM交叉汇率期货的主要品种及其交易单位和最小变动价位。</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此外，CME也开始了以日元、欧元和美元报价的人民币期货合约。</w:t>
      </w:r>
    </w:p>
    <w:p w:rsidR="00481206" w:rsidRPr="00481206" w:rsidRDefault="00481206" w:rsidP="00481206">
      <w:pPr>
        <w:spacing w:line="360" w:lineRule="auto"/>
        <w:ind w:left="420"/>
        <w:rPr>
          <w:rFonts w:ascii="宋体" w:hAnsi="宋体"/>
          <w:bCs/>
          <w:sz w:val="24"/>
        </w:rPr>
      </w:pPr>
      <w:r w:rsidRPr="00481206">
        <w:rPr>
          <w:rFonts w:ascii="宋体" w:hAnsi="宋体" w:hint="eastAsia"/>
          <w:bCs/>
          <w:sz w:val="24"/>
        </w:rPr>
        <w:t>这里主要介绍四种货币期货。</w:t>
      </w:r>
    </w:p>
    <w:p w:rsidR="00481206" w:rsidRPr="00481206" w:rsidRDefault="00481206" w:rsidP="00481206">
      <w:pPr>
        <w:spacing w:line="360" w:lineRule="auto"/>
        <w:ind w:firstLineChars="150" w:firstLine="360"/>
        <w:outlineLvl w:val="0"/>
        <w:rPr>
          <w:rFonts w:ascii="宋体" w:hAnsi="宋体"/>
          <w:bCs/>
          <w:sz w:val="24"/>
        </w:rPr>
      </w:pPr>
      <w:bookmarkStart w:id="436" w:name="_Toc444350236"/>
      <w:bookmarkStart w:id="437" w:name="_Toc474271711"/>
      <w:r w:rsidRPr="00481206">
        <w:rPr>
          <w:rFonts w:ascii="宋体" w:hAnsi="宋体" w:hint="eastAsia"/>
          <w:bCs/>
          <w:sz w:val="24"/>
        </w:rPr>
        <w:t>（一）外汇期货——英镑</w:t>
      </w:r>
      <w:bookmarkEnd w:id="436"/>
      <w:bookmarkEnd w:id="437"/>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英镑期货就是金融期货合约的标的货币是英镑的期货合约。</w:t>
      </w:r>
    </w:p>
    <w:p w:rsidR="00481206" w:rsidRPr="00481206" w:rsidRDefault="00481206" w:rsidP="00481206">
      <w:pPr>
        <w:spacing w:line="360" w:lineRule="auto"/>
        <w:ind w:firstLineChars="200" w:firstLine="480"/>
        <w:rPr>
          <w:rFonts w:ascii="宋体" w:hAnsi="宋体" w:cs="宋体"/>
          <w:spacing w:val="8"/>
          <w:kern w:val="0"/>
          <w:sz w:val="24"/>
        </w:rPr>
      </w:pPr>
      <w:r w:rsidRPr="00481206">
        <w:rPr>
          <w:rFonts w:ascii="宋体" w:hAnsi="宋体" w:hint="eastAsia"/>
          <w:bCs/>
          <w:sz w:val="24"/>
        </w:rPr>
        <w:t>英镑期货产生的背景：规避外汇市场的风险。</w:t>
      </w:r>
      <w:r w:rsidRPr="00481206">
        <w:rPr>
          <w:rFonts w:ascii="宋体" w:hAnsi="宋体"/>
          <w:bCs/>
          <w:sz w:val="24"/>
        </w:rPr>
        <w:t>在1947－1972年间，英镑发生了14次危机。92年更是英镑史上最不幸的一年，9月16日，英镑兑马克的汇率跌破欧洲货币汇率机制规定的浮动下限，纽约外汇市场的英磅兑马克汇率跌到二战后的历史最低点，英国中央银行为维持外贸远景及经济增长，不得不在一天内两次宣布降低利率。英国被迫宣布退出加入不到两年的欧洲货币汇率机制。</w:t>
      </w:r>
    </w:p>
    <w:p w:rsidR="00481206" w:rsidRPr="00481206" w:rsidRDefault="00481206" w:rsidP="00481206">
      <w:pPr>
        <w:spacing w:line="360" w:lineRule="auto"/>
        <w:ind w:firstLineChars="200" w:firstLine="512"/>
        <w:rPr>
          <w:rFonts w:ascii="宋体" w:hAnsi="宋体" w:cs="宋体"/>
          <w:spacing w:val="8"/>
          <w:kern w:val="0"/>
          <w:sz w:val="24"/>
        </w:rPr>
      </w:pPr>
      <w:r w:rsidRPr="00481206">
        <w:rPr>
          <w:rFonts w:ascii="宋体" w:hAnsi="宋体" w:cs="宋体" w:hint="eastAsia"/>
          <w:spacing w:val="8"/>
          <w:kern w:val="0"/>
          <w:sz w:val="24"/>
        </w:rPr>
        <w:lastRenderedPageBreak/>
        <w:t>英镑期货的主要交易场所：美国芝加哥商业交易所（CME）。</w:t>
      </w:r>
    </w:p>
    <w:p w:rsidR="00481206" w:rsidRPr="00481206" w:rsidRDefault="00481206" w:rsidP="00481206">
      <w:pPr>
        <w:spacing w:line="360" w:lineRule="auto"/>
        <w:ind w:firstLineChars="150" w:firstLine="360"/>
        <w:outlineLvl w:val="0"/>
        <w:rPr>
          <w:rFonts w:ascii="宋体" w:hAnsi="宋体"/>
          <w:bCs/>
          <w:sz w:val="24"/>
        </w:rPr>
      </w:pPr>
      <w:bookmarkStart w:id="438" w:name="_Toc444350237"/>
      <w:bookmarkStart w:id="439" w:name="_Toc474271712"/>
      <w:r w:rsidRPr="00481206">
        <w:rPr>
          <w:rFonts w:ascii="宋体" w:hAnsi="宋体" w:hint="eastAsia"/>
          <w:bCs/>
          <w:sz w:val="24"/>
        </w:rPr>
        <w:t>（二）外汇期货——美元</w:t>
      </w:r>
      <w:bookmarkEnd w:id="438"/>
      <w:bookmarkEnd w:id="439"/>
    </w:p>
    <w:p w:rsidR="00481206" w:rsidRPr="00481206" w:rsidRDefault="00481206" w:rsidP="00481206">
      <w:pPr>
        <w:spacing w:line="360" w:lineRule="auto"/>
        <w:ind w:firstLineChars="199" w:firstLine="478"/>
        <w:rPr>
          <w:rFonts w:ascii="宋体" w:hAnsi="宋体"/>
          <w:bCs/>
          <w:sz w:val="24"/>
        </w:rPr>
      </w:pPr>
      <w:r w:rsidRPr="00481206">
        <w:rPr>
          <w:rFonts w:ascii="宋体" w:hAnsi="宋体" w:hint="eastAsia"/>
          <w:bCs/>
          <w:sz w:val="24"/>
        </w:rPr>
        <w:t>美元期货的标的物指的是欧洲美元，所谓的欧洲美元，是指所有的存放在美国境外的美元存款。</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美元期货产生的背景也是为了规避美元贬值带来的风险。</w:t>
      </w:r>
    </w:p>
    <w:p w:rsidR="00481206" w:rsidRPr="00481206" w:rsidRDefault="00481206" w:rsidP="00481206">
      <w:pPr>
        <w:spacing w:line="360" w:lineRule="auto"/>
        <w:ind w:firstLineChars="200" w:firstLine="512"/>
        <w:rPr>
          <w:rFonts w:ascii="宋体" w:hAnsi="宋体" w:cs="宋体"/>
          <w:spacing w:val="8"/>
          <w:kern w:val="0"/>
          <w:sz w:val="24"/>
        </w:rPr>
      </w:pPr>
      <w:r w:rsidRPr="00481206">
        <w:rPr>
          <w:rFonts w:ascii="宋体" w:hAnsi="宋体" w:cs="宋体" w:hint="eastAsia"/>
          <w:spacing w:val="8"/>
          <w:kern w:val="0"/>
          <w:sz w:val="24"/>
        </w:rPr>
        <w:t>美元期货的主要交易场所：</w:t>
      </w:r>
      <w:r w:rsidRPr="00481206">
        <w:rPr>
          <w:rFonts w:ascii="宋体" w:hAnsi="宋体"/>
          <w:bCs/>
          <w:sz w:val="24"/>
        </w:rPr>
        <w:t>伦敦国际金融期货期权交易所</w:t>
      </w:r>
      <w:r w:rsidRPr="00481206">
        <w:rPr>
          <w:rFonts w:ascii="宋体" w:hAnsi="宋体" w:cs="宋体" w:hint="eastAsia"/>
          <w:spacing w:val="8"/>
          <w:kern w:val="0"/>
          <w:sz w:val="24"/>
        </w:rPr>
        <w:t>。</w:t>
      </w:r>
    </w:p>
    <w:p w:rsidR="00481206" w:rsidRPr="00481206" w:rsidRDefault="00481206" w:rsidP="00481206">
      <w:pPr>
        <w:spacing w:line="360" w:lineRule="auto"/>
        <w:ind w:firstLineChars="150" w:firstLine="360"/>
        <w:outlineLvl w:val="0"/>
        <w:rPr>
          <w:rFonts w:ascii="宋体" w:hAnsi="宋体"/>
          <w:bCs/>
          <w:sz w:val="24"/>
        </w:rPr>
      </w:pPr>
      <w:bookmarkStart w:id="440" w:name="_Toc444350238"/>
      <w:bookmarkStart w:id="441" w:name="_Toc474271713"/>
      <w:r w:rsidRPr="00481206">
        <w:rPr>
          <w:rFonts w:ascii="宋体" w:hAnsi="宋体" w:hint="eastAsia"/>
          <w:bCs/>
          <w:sz w:val="24"/>
        </w:rPr>
        <w:t>（三）外汇期货——日元</w:t>
      </w:r>
      <w:bookmarkEnd w:id="440"/>
      <w:bookmarkEnd w:id="441"/>
    </w:p>
    <w:p w:rsidR="00481206" w:rsidRPr="00481206" w:rsidRDefault="00481206" w:rsidP="00481206">
      <w:pPr>
        <w:spacing w:line="360" w:lineRule="auto"/>
        <w:ind w:firstLineChars="199" w:firstLine="478"/>
        <w:rPr>
          <w:rFonts w:ascii="宋体" w:hAnsi="宋体"/>
          <w:bCs/>
          <w:sz w:val="24"/>
        </w:rPr>
      </w:pPr>
      <w:r w:rsidRPr="00481206">
        <w:rPr>
          <w:rFonts w:ascii="宋体" w:hAnsi="宋体" w:hint="eastAsia"/>
          <w:bCs/>
          <w:sz w:val="24"/>
        </w:rPr>
        <w:t>日元期货就是金融期货合约的标的货币是日元的期货合约。</w:t>
      </w:r>
    </w:p>
    <w:p w:rsidR="00481206" w:rsidRPr="00481206" w:rsidRDefault="00481206" w:rsidP="00481206">
      <w:pPr>
        <w:spacing w:line="360" w:lineRule="auto"/>
        <w:ind w:firstLineChars="200" w:firstLine="512"/>
        <w:rPr>
          <w:rFonts w:ascii="宋体" w:hAnsi="宋体" w:cs="宋体"/>
          <w:spacing w:val="8"/>
          <w:kern w:val="0"/>
          <w:sz w:val="24"/>
        </w:rPr>
      </w:pPr>
      <w:r w:rsidRPr="00481206">
        <w:rPr>
          <w:rFonts w:ascii="宋体" w:hAnsi="宋体" w:cs="宋体" w:hint="eastAsia"/>
          <w:spacing w:val="8"/>
          <w:kern w:val="0"/>
          <w:sz w:val="24"/>
        </w:rPr>
        <w:t>日元期货的主要交易场所：美国芝加哥商业交易所（CME）。</w:t>
      </w:r>
    </w:p>
    <w:p w:rsidR="00481206" w:rsidRPr="00481206" w:rsidRDefault="00481206" w:rsidP="00481206">
      <w:pPr>
        <w:spacing w:line="360" w:lineRule="auto"/>
        <w:ind w:firstLineChars="199" w:firstLine="478"/>
        <w:rPr>
          <w:rFonts w:ascii="宋体" w:hAnsi="宋体"/>
          <w:bCs/>
          <w:sz w:val="24"/>
        </w:rPr>
      </w:pPr>
      <w:r w:rsidRPr="00481206">
        <w:rPr>
          <w:rFonts w:ascii="宋体" w:hAnsi="宋体" w:hint="eastAsia"/>
          <w:bCs/>
          <w:sz w:val="24"/>
        </w:rPr>
        <w:t>（四）外汇期货——马克</w:t>
      </w:r>
    </w:p>
    <w:p w:rsidR="00481206" w:rsidRPr="00481206" w:rsidRDefault="00481206" w:rsidP="00481206">
      <w:pPr>
        <w:spacing w:line="360" w:lineRule="auto"/>
        <w:ind w:firstLineChars="199" w:firstLine="478"/>
        <w:rPr>
          <w:rFonts w:ascii="宋体" w:hAnsi="宋体"/>
          <w:bCs/>
          <w:sz w:val="24"/>
        </w:rPr>
      </w:pPr>
      <w:r w:rsidRPr="00481206">
        <w:rPr>
          <w:rFonts w:ascii="宋体" w:hAnsi="宋体" w:hint="eastAsia"/>
          <w:bCs/>
          <w:sz w:val="24"/>
        </w:rPr>
        <w:t>马克期货就是金融期货合约的标的货币是德国马克的期货合约。</w:t>
      </w:r>
    </w:p>
    <w:p w:rsidR="00481206" w:rsidRPr="00481206" w:rsidRDefault="00481206" w:rsidP="00481206">
      <w:pPr>
        <w:spacing w:line="360" w:lineRule="auto"/>
        <w:ind w:firstLineChars="200" w:firstLine="512"/>
        <w:rPr>
          <w:rFonts w:ascii="宋体" w:hAnsi="宋体" w:cs="宋体"/>
          <w:spacing w:val="8"/>
          <w:kern w:val="0"/>
          <w:sz w:val="24"/>
        </w:rPr>
      </w:pPr>
      <w:r w:rsidRPr="00481206">
        <w:rPr>
          <w:rFonts w:ascii="宋体" w:hAnsi="宋体" w:cs="宋体" w:hint="eastAsia"/>
          <w:spacing w:val="8"/>
          <w:kern w:val="0"/>
          <w:sz w:val="24"/>
        </w:rPr>
        <w:t>马克期货的主要交易场所：美国芝加哥商业交易所（CME）。</w:t>
      </w:r>
    </w:p>
    <w:p w:rsidR="00481206" w:rsidRPr="00481206" w:rsidRDefault="00481206" w:rsidP="00481206">
      <w:pPr>
        <w:tabs>
          <w:tab w:val="num" w:pos="420"/>
        </w:tabs>
        <w:spacing w:line="360" w:lineRule="auto"/>
        <w:ind w:leftChars="150" w:left="315" w:firstLineChars="100" w:firstLine="240"/>
        <w:rPr>
          <w:rFonts w:ascii="宋体" w:hAnsi="宋体"/>
          <w:bCs/>
          <w:sz w:val="24"/>
        </w:rPr>
      </w:pPr>
      <w:r w:rsidRPr="00481206">
        <w:rPr>
          <w:rFonts w:ascii="宋体" w:hAnsi="宋体" w:hint="eastAsia"/>
          <w:bCs/>
          <w:sz w:val="24"/>
        </w:rPr>
        <w:t>四、货币期货的报价方式</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外汇即期市场和远期市场的报价方式：各种货币均已美元作为标准进行报价，这包括美国以及其他的国家，只是美国采用的是间接标价法，而其他国家采用的是直接标价法。</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货币期货市场的报价方式是以一单位的标的货币为标准，而以计价和结算货币的数量作为该标的货币的期货价格。比如：以美元计价的澳元期货的报价是一单位澳元合的美元数量来进行报价；以日元计价的欧元期货是一单位欧元的合的日元数量来进行报价。</w:t>
      </w:r>
    </w:p>
    <w:p w:rsidR="00481206" w:rsidRPr="00481206" w:rsidRDefault="00481206" w:rsidP="00481206">
      <w:pPr>
        <w:tabs>
          <w:tab w:val="num" w:pos="420"/>
        </w:tabs>
        <w:spacing w:line="360" w:lineRule="auto"/>
        <w:ind w:leftChars="150" w:left="315" w:firstLineChars="100" w:firstLine="240"/>
        <w:rPr>
          <w:rFonts w:ascii="宋体" w:hAnsi="宋体"/>
          <w:bCs/>
          <w:sz w:val="24"/>
        </w:rPr>
      </w:pPr>
      <w:r w:rsidRPr="00481206">
        <w:rPr>
          <w:rFonts w:ascii="宋体" w:hAnsi="宋体" w:hint="eastAsia"/>
          <w:bCs/>
          <w:sz w:val="24"/>
        </w:rPr>
        <w:t>五、货币期货的合约规格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货币期货合约的合约规格就是对该货币期货的交易单位、最小变动价位、每日价格波动幅度、合约月份、交易时间等内容进行规定。具体例子请见教材38页。</w:t>
      </w:r>
    </w:p>
    <w:p w:rsidR="00481206" w:rsidRPr="00481206" w:rsidRDefault="00481206" w:rsidP="00481206">
      <w:pPr>
        <w:numPr>
          <w:ilvl w:val="0"/>
          <w:numId w:val="3"/>
        </w:numPr>
        <w:tabs>
          <w:tab w:val="left" w:pos="420"/>
        </w:tabs>
        <w:spacing w:line="360" w:lineRule="auto"/>
        <w:ind w:left="840"/>
        <w:outlineLvl w:val="1"/>
        <w:rPr>
          <w:rFonts w:ascii="宋体" w:hAnsi="宋体" w:cs="宋体"/>
          <w:bCs/>
          <w:sz w:val="24"/>
        </w:rPr>
      </w:pPr>
      <w:bookmarkStart w:id="442" w:name="_Toc444350239"/>
      <w:bookmarkStart w:id="443" w:name="_Toc474271714"/>
      <w:r w:rsidRPr="00481206">
        <w:rPr>
          <w:rFonts w:ascii="宋体" w:hAnsi="宋体" w:cs="宋体" w:hint="eastAsia"/>
          <w:bCs/>
          <w:sz w:val="24"/>
        </w:rPr>
        <w:t>第6讲（共90分钟）</w:t>
      </w:r>
      <w:bookmarkEnd w:id="442"/>
      <w:bookmarkEnd w:id="443"/>
    </w:p>
    <w:p w:rsidR="00481206" w:rsidRPr="00481206" w:rsidRDefault="00481206" w:rsidP="00481206">
      <w:pPr>
        <w:jc w:val="center"/>
        <w:rPr>
          <w:rFonts w:ascii="宋体" w:hAnsi="宋体"/>
          <w:bCs/>
          <w:sz w:val="24"/>
        </w:rPr>
      </w:pPr>
      <w:r w:rsidRPr="00481206">
        <w:rPr>
          <w:rFonts w:ascii="宋体" w:hAnsi="宋体" w:hint="eastAsia"/>
          <w:bCs/>
          <w:sz w:val="24"/>
        </w:rPr>
        <w:t>第二节   利率期货</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利率期货是指交易双方在集中性的市场中以公开竞价的方式所进行的利率期货合约的交易。而利率期货合约是指交易双方订立的、约定在未来某日期以成交时确定的价格，交割一定数量某种利率相关商品（即各种债务凭证）的标准化契约。</w:t>
      </w:r>
    </w:p>
    <w:p w:rsidR="00481206" w:rsidRPr="00481206" w:rsidRDefault="00481206" w:rsidP="00481206">
      <w:pPr>
        <w:spacing w:line="360" w:lineRule="auto"/>
        <w:ind w:firstLineChars="200" w:firstLine="480"/>
        <w:outlineLvl w:val="0"/>
        <w:rPr>
          <w:rFonts w:ascii="宋体" w:hAnsi="宋体"/>
          <w:bCs/>
          <w:sz w:val="24"/>
        </w:rPr>
      </w:pPr>
      <w:bookmarkStart w:id="444" w:name="_Toc444350240"/>
      <w:bookmarkStart w:id="445" w:name="_Toc474271715"/>
      <w:r w:rsidRPr="00481206">
        <w:rPr>
          <w:rFonts w:ascii="宋体" w:hAnsi="宋体" w:hint="eastAsia"/>
          <w:bCs/>
          <w:sz w:val="24"/>
        </w:rPr>
        <w:t>一、远期利率协议</w:t>
      </w:r>
      <w:bookmarkEnd w:id="444"/>
      <w:bookmarkEnd w:id="445"/>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（一）远期利率协议的概念</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远期利率协议（forward rate agreement，简称FRA）是买卖双方同意从未来某一</w:t>
      </w:r>
      <w:r w:rsidRPr="00481206">
        <w:rPr>
          <w:rFonts w:ascii="宋体" w:hAnsi="宋体" w:hint="eastAsia"/>
          <w:bCs/>
          <w:sz w:val="24"/>
        </w:rPr>
        <w:lastRenderedPageBreak/>
        <w:t>商定的时期开始在某一特定时期内按照协议利率借贷一笔数额确定、以具体的货币表示的名义本金的协议。远期利率协议的买方是名义借款人，其订立远期利率协议的目的主要是为了规避利率上升的风险；远期利率协议的卖方是名义贷款人，其订立远期利率协议的目的主要是为了规避利率下降的风险。之所以称为“名义”，是因为借贷双方不必交换本金，只是在结算日根据协议利率和参考利率之间的差额以及名义本金额，由交易一方付给另一方结算金。</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（二）远期利率协议中的重要术语</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合同金额（contract amount）——借贷的名义本金额；</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合同货币（contract currency）——合同金额的货币币种；</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合同利率（contract rate）——在协议中双方商定的借贷利率；</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交易日（dealing date）——远期利率协议成交的日期；</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结算日（settlement date）——名义借贷开始的日期，也是交易一方向另一方交付结算金的日期；</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确定日（fixing date）——确定参照利率的日期；</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参照利率（reference rate）——在确定日用以确定结算金的在协议中指定的某种市场利率；</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到期日（maturity date）——名义借贷到期的日期；</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合同期（contract period）——结算日至到期日的天数；</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结算金（settlement sum）——在结算日，根据合同利率和参照利率的差额计算出来的，由交易一方付给另一方的金额。</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举例说明：假定今天是2007年10月5日星期五，双方同意成交一份1*4、名义金额100万美元、合同利率4.75%的远期利率协议。其中“1*4”是指起算日和结算日之间为1个月、起算日至名义贷款最终到期日之间为的时间为4个月。交易日与起算日一般时隔两个交易日。在本例中，交易日的时间为2007年10月5日星期五，因此起算日的时间是2007年10月9日星期二，而结算日则是2007年11月9日星期五，到期的时间为2008年2月8日星期五，合同期为2007年11月9日至2008年2月8日，即92天。在结算日之前的两个交易日（即2007年11月7日星期三）为确定日，确定参照利率。参照利率通常为确定日的伦敦银行同业拆放利率。假定参照利率为5.50%，这样，在结算日，由于参照利率高于合同利率，名义贷款方就要支付结算金给名义借款方。</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（三）结算金的计算</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lastRenderedPageBreak/>
        <w:t>在远期利率协议下，如果参照利率超过合同利率，那么卖方就要支付给买方一笔结算金，以补偿卖方在实际借款中因利率上升造成的损失。一般来说，实际借款利息是在贷款到期时支付的，而结算金则是在结算日支付的，因此结算金并不等于因利率上升而给买方造成的额外利息支出，而等于额外利息支出在结算日的贴现值，具体计算公式如下：</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54"/>
          <w:sz w:val="24"/>
        </w:rPr>
        <w:object w:dxaOrig="2640" w:dyaOrig="1200">
          <v:shape id="_x0000_i1047" type="#_x0000_t75" style="width:132pt;height:60pt" o:ole="">
            <v:imagedata r:id="rId39" o:title=""/>
          </v:shape>
          <o:OLEObject Type="Embed" ProgID="Equation.3" ShapeID="_x0000_i1047" DrawAspect="Content" ObjectID="_1550061315" r:id="rId40"/>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其中，</w:t>
      </w:r>
      <w:r w:rsidRPr="00481206">
        <w:rPr>
          <w:rFonts w:ascii="宋体" w:hAnsi="宋体"/>
          <w:bCs/>
          <w:position w:val="-10"/>
          <w:sz w:val="24"/>
        </w:rPr>
        <w:object w:dxaOrig="220" w:dyaOrig="340">
          <v:shape id="_x0000_i1048" type="#_x0000_t75" style="width:11.25pt;height:17.25pt" o:ole="">
            <v:imagedata r:id="rId41" o:title=""/>
          </v:shape>
          <o:OLEObject Type="Embed" ProgID="Equation.3" ShapeID="_x0000_i1048" DrawAspect="Content" ObjectID="_1550061316" r:id="rId42"/>
        </w:object>
      </w:r>
      <w:r w:rsidRPr="00481206">
        <w:rPr>
          <w:rFonts w:ascii="宋体" w:hAnsi="宋体" w:hint="eastAsia"/>
          <w:bCs/>
          <w:sz w:val="24"/>
        </w:rPr>
        <w:t>表示参考利率，</w:t>
      </w:r>
      <w:r w:rsidRPr="00481206">
        <w:rPr>
          <w:rFonts w:ascii="宋体" w:hAnsi="宋体"/>
          <w:bCs/>
          <w:position w:val="-12"/>
          <w:sz w:val="24"/>
        </w:rPr>
        <w:object w:dxaOrig="240" w:dyaOrig="360">
          <v:shape id="_x0000_i1049" type="#_x0000_t75" style="width:12pt;height:18pt" o:ole="">
            <v:imagedata r:id="rId43" o:title=""/>
          </v:shape>
          <o:OLEObject Type="Embed" ProgID="Equation.3" ShapeID="_x0000_i1049" DrawAspect="Content" ObjectID="_1550061317" r:id="rId44"/>
        </w:object>
      </w:r>
      <w:r w:rsidRPr="00481206">
        <w:rPr>
          <w:rFonts w:ascii="宋体" w:hAnsi="宋体" w:hint="eastAsia"/>
          <w:bCs/>
          <w:sz w:val="24"/>
        </w:rPr>
        <w:t>表示合同利率，A表示合同金额，D表示合同到期天数，B表示天数计算惯例（美元为360天，英镑为365天）。</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在上式中，分子表示由于合同利率和参照利率之间的差额所造成的额外利息支出，而分母是对分子的贴现，以反映结算金的支付是在合同期开始之日而非结束之时。</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我们按照上面的例子，卖方向买方支付的结算金为：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56"/>
          <w:sz w:val="24"/>
        </w:rPr>
        <w:object w:dxaOrig="4800" w:dyaOrig="1240">
          <v:shape id="_x0000_i1050" type="#_x0000_t75" style="width:240pt;height:62.25pt" o:ole="">
            <v:imagedata r:id="rId45" o:title=""/>
          </v:shape>
          <o:OLEObject Type="Embed" ProgID="Equation.3" ShapeID="_x0000_i1050" DrawAspect="Content" ObjectID="_1550061318" r:id="rId46"/>
        </w:object>
      </w:r>
      <w:r w:rsidRPr="00481206">
        <w:rPr>
          <w:rFonts w:ascii="宋体" w:hAnsi="宋体" w:hint="eastAsia"/>
          <w:bCs/>
          <w:sz w:val="24"/>
        </w:rPr>
        <w:t>（美元）</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（四）远期利率的概念</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远期利率（forward interest rate）就是指现在时刻的将来一定期限的利率。上例中的合同利率就是远期利率。如1*4就是指1个月开始的期限为3个月的远期利率。</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一般来讲，远期利率是由一系列的即期利率决定的。一般地说，如果现在的时刻为t，T时刻到期的即期利率为r，</w:t>
      </w:r>
      <w:r w:rsidRPr="00481206">
        <w:rPr>
          <w:rFonts w:ascii="宋体" w:hAnsi="宋体"/>
          <w:bCs/>
          <w:position w:val="-4"/>
          <w:sz w:val="24"/>
        </w:rPr>
        <w:object w:dxaOrig="300" w:dyaOrig="300">
          <v:shape id="_x0000_i1051" type="#_x0000_t75" style="width:15pt;height:15pt" o:ole="">
            <v:imagedata r:id="rId47" o:title=""/>
          </v:shape>
          <o:OLEObject Type="Embed" ProgID="Equation.3" ShapeID="_x0000_i1051" DrawAspect="Content" ObjectID="_1550061319" r:id="rId48"/>
        </w:object>
      </w:r>
      <w:r w:rsidRPr="00481206">
        <w:rPr>
          <w:rFonts w:ascii="宋体" w:hAnsi="宋体" w:hint="eastAsia"/>
          <w:bCs/>
          <w:sz w:val="24"/>
        </w:rPr>
        <w:t>时刻（</w:t>
      </w:r>
      <w:r w:rsidRPr="00481206">
        <w:rPr>
          <w:rFonts w:ascii="宋体" w:hAnsi="宋体"/>
          <w:bCs/>
          <w:position w:val="-4"/>
          <w:sz w:val="24"/>
        </w:rPr>
        <w:object w:dxaOrig="300" w:dyaOrig="300">
          <v:shape id="_x0000_i1052" type="#_x0000_t75" style="width:15pt;height:15pt" o:ole="">
            <v:imagedata r:id="rId49" o:title=""/>
          </v:shape>
          <o:OLEObject Type="Embed" ProgID="Equation.3" ShapeID="_x0000_i1052" DrawAspect="Content" ObjectID="_1550061320" r:id="rId50"/>
        </w:object>
      </w:r>
      <w:r w:rsidRPr="00481206">
        <w:rPr>
          <w:rFonts w:ascii="宋体" w:hAnsi="宋体" w:hint="eastAsia"/>
          <w:bCs/>
          <w:sz w:val="24"/>
        </w:rPr>
        <w:t>大于T）到期的即期利率为</w:t>
      </w:r>
      <w:r w:rsidRPr="00481206">
        <w:rPr>
          <w:rFonts w:ascii="宋体" w:hAnsi="宋体"/>
          <w:bCs/>
          <w:position w:val="-4"/>
          <w:sz w:val="24"/>
        </w:rPr>
        <w:object w:dxaOrig="260" w:dyaOrig="300">
          <v:shape id="_x0000_i1053" type="#_x0000_t75" style="width:12.75pt;height:15pt" o:ole="">
            <v:imagedata r:id="rId51" o:title=""/>
          </v:shape>
          <o:OLEObject Type="Embed" ProgID="Equation.3" ShapeID="_x0000_i1053" DrawAspect="Content" ObjectID="_1550061321" r:id="rId52"/>
        </w:object>
      </w:r>
      <w:r w:rsidRPr="00481206">
        <w:rPr>
          <w:rFonts w:ascii="宋体" w:hAnsi="宋体" w:hint="eastAsia"/>
          <w:bCs/>
          <w:sz w:val="24"/>
        </w:rPr>
        <w:t>，则t时刻的</w:t>
      </w:r>
      <w:r w:rsidRPr="00481206">
        <w:rPr>
          <w:rFonts w:ascii="宋体" w:hAnsi="宋体"/>
          <w:bCs/>
          <w:position w:val="-4"/>
          <w:sz w:val="24"/>
        </w:rPr>
        <w:object w:dxaOrig="300" w:dyaOrig="300">
          <v:shape id="_x0000_i1054" type="#_x0000_t75" style="width:15pt;height:15pt" o:ole="">
            <v:imagedata r:id="rId49" o:title=""/>
          </v:shape>
          <o:OLEObject Type="Embed" ProgID="Equation.3" ShapeID="_x0000_i1054" DrawAspect="Content" ObjectID="_1550061322" r:id="rId53"/>
        </w:object>
      </w:r>
      <w:r w:rsidRPr="00481206">
        <w:rPr>
          <w:rFonts w:ascii="宋体" w:hAnsi="宋体" w:hint="eastAsia"/>
          <w:bCs/>
          <w:sz w:val="24"/>
        </w:rPr>
        <w:t>-T期间的远期利率</w:t>
      </w:r>
      <w:r w:rsidRPr="00481206">
        <w:rPr>
          <w:rFonts w:ascii="宋体" w:hAnsi="宋体"/>
          <w:bCs/>
          <w:position w:val="-4"/>
          <w:sz w:val="24"/>
        </w:rPr>
        <w:object w:dxaOrig="260" w:dyaOrig="300">
          <v:shape id="_x0000_i1055" type="#_x0000_t75" style="width:12.75pt;height:15pt" o:ole="">
            <v:imagedata r:id="rId54" o:title=""/>
          </v:shape>
          <o:OLEObject Type="Embed" ProgID="Equation.3" ShapeID="_x0000_i1055" DrawAspect="Content" ObjectID="_1550061323" r:id="rId55"/>
        </w:object>
      </w:r>
      <w:r w:rsidRPr="00481206">
        <w:rPr>
          <w:rFonts w:ascii="宋体" w:hAnsi="宋体" w:hint="eastAsia"/>
          <w:bCs/>
          <w:sz w:val="24"/>
        </w:rPr>
        <w:t>可以通过下式求得：</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3240" w:dyaOrig="400">
          <v:shape id="_x0000_i1056" type="#_x0000_t75" style="width:162pt;height:20.25pt" o:ole="">
            <v:imagedata r:id="rId56" o:title=""/>
          </v:shape>
          <o:OLEObject Type="Embed" ProgID="Equation.3" ShapeID="_x0000_i1056" DrawAspect="Content" ObjectID="_1550061324" r:id="rId57"/>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例如：如果一年期的即期利率为10%，两年期的即期利率为10.5%，那么其隐含的一年到两年的远期利率就约等于11%，有下式来计算：</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（1+10%）（1+r）=（1+10.5%）（1+10.5%）</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由此r约等于11%。</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（五）连续复利的概念</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利息的计算有单利和复利之分。所谓的“单利”，是指只根据期限、期初本金和利</w:t>
      </w:r>
      <w:r w:rsidRPr="00481206">
        <w:rPr>
          <w:rFonts w:ascii="宋体" w:hAnsi="宋体" w:hint="eastAsia"/>
          <w:bCs/>
          <w:sz w:val="24"/>
        </w:rPr>
        <w:lastRenderedPageBreak/>
        <w:t>率来计算利息，然后加上本金，即为本息之和。比如，假设本金为A，年利率为R，期限为n，则根据单利计算，期末的本息之和（也叫终值）为：</w:t>
      </w:r>
    </w:p>
    <w:p w:rsidR="00481206" w:rsidRPr="00481206" w:rsidRDefault="00481206" w:rsidP="00481206">
      <w:pPr>
        <w:spacing w:line="360" w:lineRule="auto"/>
        <w:ind w:firstLineChars="200" w:firstLine="480"/>
        <w:outlineLvl w:val="0"/>
        <w:rPr>
          <w:rFonts w:ascii="宋体" w:hAnsi="宋体"/>
          <w:bCs/>
          <w:sz w:val="24"/>
        </w:rPr>
      </w:pPr>
      <w:bookmarkStart w:id="446" w:name="_Toc444350241"/>
      <w:bookmarkStart w:id="447" w:name="_Toc474271716"/>
      <w:r w:rsidRPr="00481206">
        <w:rPr>
          <w:rFonts w:ascii="宋体" w:hAnsi="宋体" w:hint="eastAsia"/>
          <w:bCs/>
          <w:sz w:val="24"/>
        </w:rPr>
        <w:t>A（1+R*n）</w:t>
      </w:r>
      <w:bookmarkEnd w:id="446"/>
      <w:bookmarkEnd w:id="447"/>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设A=100元，n=5，R=8%，则在单利计息时，5年后的本息之和为</w:t>
      </w:r>
    </w:p>
    <w:p w:rsidR="00481206" w:rsidRPr="00481206" w:rsidRDefault="00481206" w:rsidP="00481206">
      <w:pPr>
        <w:spacing w:line="360" w:lineRule="auto"/>
        <w:ind w:firstLineChars="200" w:firstLine="480"/>
        <w:outlineLvl w:val="0"/>
        <w:rPr>
          <w:rFonts w:ascii="宋体" w:hAnsi="宋体"/>
          <w:bCs/>
          <w:sz w:val="24"/>
        </w:rPr>
      </w:pPr>
      <w:bookmarkStart w:id="448" w:name="_Toc444350242"/>
      <w:bookmarkStart w:id="449" w:name="_Toc474271717"/>
      <w:r w:rsidRPr="00481206">
        <w:rPr>
          <w:rFonts w:ascii="宋体" w:hAnsi="宋体" w:hint="eastAsia"/>
          <w:bCs/>
          <w:sz w:val="24"/>
        </w:rPr>
        <w:t>100（1+0.08*5）=40（元）</w:t>
      </w:r>
      <w:bookmarkEnd w:id="448"/>
      <w:bookmarkEnd w:id="449"/>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复利，即是对本金及其产生的利息一起计算的利息。复利的特点就是将上期末的本利和作为下一期的本金，在计算时每一期本金的数额是不同的。</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比如本金为A，年利率为R，则一年末的本利和为：A（1+R）；</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则在第二年开始本金为A（1+R），则两年末的本利和为：</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w:t>
      </w:r>
      <w:r w:rsidRPr="00481206">
        <w:rPr>
          <w:rFonts w:ascii="宋体" w:hAnsi="宋体"/>
          <w:bCs/>
          <w:position w:val="-10"/>
          <w:sz w:val="24"/>
        </w:rPr>
        <w:object w:dxaOrig="2640" w:dyaOrig="360">
          <v:shape id="_x0000_i1057" type="#_x0000_t75" style="width:132pt;height:18pt" o:ole="">
            <v:imagedata r:id="rId58" o:title=""/>
          </v:shape>
          <o:OLEObject Type="Embed" ProgID="Equation.3" ShapeID="_x0000_i1057" DrawAspect="Content" ObjectID="_1550061325" r:id="rId59"/>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则n年末的本利和为：</w:t>
      </w:r>
      <w:r w:rsidRPr="00481206">
        <w:rPr>
          <w:rFonts w:ascii="宋体" w:hAnsi="宋体"/>
          <w:bCs/>
          <w:position w:val="-10"/>
          <w:sz w:val="24"/>
        </w:rPr>
        <w:object w:dxaOrig="960" w:dyaOrig="360">
          <v:shape id="_x0000_i1058" type="#_x0000_t75" style="width:48pt;height:18pt" o:ole="">
            <v:imagedata r:id="rId60" o:title=""/>
          </v:shape>
          <o:OLEObject Type="Embed" ProgID="Equation.3" ShapeID="_x0000_i1058" DrawAspect="Content" ObjectID="_1550061326" r:id="rId61"/>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因此，假设本金为A，年利率为R，按照复利的计值方法，n年末的本利和为</w:t>
      </w:r>
      <w:r w:rsidRPr="00481206">
        <w:rPr>
          <w:rFonts w:ascii="宋体" w:hAnsi="宋体"/>
          <w:bCs/>
          <w:position w:val="-10"/>
          <w:sz w:val="24"/>
        </w:rPr>
        <w:object w:dxaOrig="960" w:dyaOrig="360">
          <v:shape id="_x0000_i1059" type="#_x0000_t75" style="width:48pt;height:18pt" o:ole="">
            <v:imagedata r:id="rId60" o:title=""/>
          </v:shape>
          <o:OLEObject Type="Embed" ProgID="Equation.3" ShapeID="_x0000_i1059" DrawAspect="Content" ObjectID="_1550061327" r:id="rId62"/>
        </w:object>
      </w:r>
      <w:r w:rsidRPr="00481206">
        <w:rPr>
          <w:rFonts w:ascii="宋体" w:hAnsi="宋体" w:hint="eastAsia"/>
          <w:bCs/>
          <w:sz w:val="24"/>
        </w:rPr>
        <w:t>，这一数值也称为本金A在n年末的终值。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假设本金为50000元，利率为3%，投资年限为30年，那么30年后的本利或终值为：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1800" w:dyaOrig="360">
          <v:shape id="_x0000_i1060" type="#_x0000_t75" style="width:90pt;height:18pt" o:ole="">
            <v:imagedata r:id="rId63" o:title=""/>
          </v:shape>
          <o:OLEObject Type="Embed" ProgID="Equation.3" ShapeID="_x0000_i1060" DrawAspect="Content" ObjectID="_1550061328" r:id="rId64"/>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当然，如果一笔资金n年末的终值为A，年利率为R，按照复利的计值方法，将这个终值A折算成目前的数额为：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 xml:space="preserve"> </w:t>
      </w:r>
      <w:r w:rsidRPr="00481206">
        <w:rPr>
          <w:rFonts w:ascii="宋体" w:hAnsi="宋体"/>
          <w:bCs/>
          <w:position w:val="-30"/>
          <w:sz w:val="24"/>
        </w:rPr>
        <w:object w:dxaOrig="859" w:dyaOrig="680">
          <v:shape id="_x0000_i1061" type="#_x0000_t75" style="width:42.75pt;height:33.75pt" o:ole="">
            <v:imagedata r:id="rId65" o:title=""/>
          </v:shape>
          <o:OLEObject Type="Embed" ProgID="Equation.3" ShapeID="_x0000_i1061" DrawAspect="Content" ObjectID="_1550061329" r:id="rId66"/>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这笔资金也叫做A的现值，这一过程叫做折现，R也叫做折现率。</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假设30年后要筹措到300万元的养老金，年折现率为3%，则现在必须投入的本金是：</w:t>
      </w:r>
    </w:p>
    <w:p w:rsidR="00481206" w:rsidRPr="00481206" w:rsidRDefault="00481206" w:rsidP="00481206">
      <w:pPr>
        <w:spacing w:line="360" w:lineRule="auto"/>
        <w:ind w:firstLineChars="300" w:firstLine="720"/>
        <w:rPr>
          <w:rFonts w:ascii="宋体" w:hAnsi="宋体"/>
          <w:bCs/>
          <w:sz w:val="24"/>
        </w:rPr>
      </w:pPr>
      <w:r w:rsidRPr="00481206">
        <w:rPr>
          <w:rFonts w:ascii="宋体" w:hAnsi="宋体"/>
          <w:bCs/>
          <w:position w:val="-30"/>
          <w:sz w:val="24"/>
        </w:rPr>
        <w:object w:dxaOrig="1080" w:dyaOrig="680">
          <v:shape id="_x0000_i1062" type="#_x0000_t75" style="width:54pt;height:33.75pt" o:ole="">
            <v:imagedata r:id="rId67" o:title=""/>
          </v:shape>
          <o:OLEObject Type="Embed" ProgID="Equation.3" ShapeID="_x0000_i1062" DrawAspect="Content" ObjectID="_1550061330" r:id="rId68"/>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以上这种情况是每一年按照计一次复利的情况，我们下面假设每一年计m次复利，则一年末的终值为：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24"/>
          <w:sz w:val="24"/>
        </w:rPr>
        <w:object w:dxaOrig="1040" w:dyaOrig="620">
          <v:shape id="_x0000_i1063" type="#_x0000_t75" style="width:51.75pt;height:30.75pt" o:ole="">
            <v:imagedata r:id="rId69" o:title=""/>
          </v:shape>
          <o:OLEObject Type="Embed" ProgID="Equation.3" ShapeID="_x0000_i1063" DrawAspect="Content" ObjectID="_1550061331" r:id="rId70"/>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lastRenderedPageBreak/>
        <w:t>这样，n年末的终值为</w:t>
      </w:r>
      <w:r w:rsidRPr="00481206">
        <w:rPr>
          <w:rFonts w:ascii="宋体" w:hAnsi="宋体"/>
          <w:bCs/>
          <w:position w:val="-24"/>
          <w:sz w:val="24"/>
        </w:rPr>
        <w:object w:dxaOrig="1120" w:dyaOrig="620">
          <v:shape id="_x0000_i1064" type="#_x0000_t75" style="width:56.25pt;height:30.75pt" o:ole="">
            <v:imagedata r:id="rId71" o:title=""/>
          </v:shape>
          <o:OLEObject Type="Embed" ProgID="Equation.3" ShapeID="_x0000_i1064" DrawAspect="Content" ObjectID="_1550061332" r:id="rId72"/>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如果m趋近于无穷大时，就称为连续复利（continuous compounding），此时的终值为：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24"/>
          <w:sz w:val="24"/>
        </w:rPr>
        <w:object w:dxaOrig="5240" w:dyaOrig="680">
          <v:shape id="_x0000_i1065" type="#_x0000_t75" style="width:261.75pt;height:33.75pt" o:ole="">
            <v:imagedata r:id="rId73" o:title=""/>
          </v:shape>
          <o:OLEObject Type="Embed" ProgID="Equation.3" ShapeID="_x0000_i1065" DrawAspect="Content" ObjectID="_1550061333" r:id="rId74"/>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复利计息比单利计息更能反映货币的时间价值，而连续复利尤其如此。在分析远期价格和期货价格的决定时，一般用到连续复利。</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例如，如果一年期和两年期的连续复利年利率为10%和10.5%，一年到二年的连续复利远期年利率为11%，由下式得到：</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6"/>
          <w:sz w:val="24"/>
        </w:rPr>
        <w:object w:dxaOrig="1820" w:dyaOrig="320">
          <v:shape id="_x0000_i1066" type="#_x0000_t75" style="width:90.75pt;height:15.75pt" o:ole="">
            <v:imagedata r:id="rId75" o:title=""/>
          </v:shape>
          <o:OLEObject Type="Embed" ProgID="Equation.3" ShapeID="_x0000_i1066" DrawAspect="Content" ObjectID="_1550061334" r:id="rId76"/>
        </w:object>
      </w:r>
    </w:p>
    <w:p w:rsidR="00481206" w:rsidRPr="00481206" w:rsidRDefault="00481206" w:rsidP="00481206">
      <w:pPr>
        <w:spacing w:line="360" w:lineRule="auto"/>
        <w:ind w:firstLineChars="200" w:firstLine="480"/>
        <w:outlineLvl w:val="0"/>
        <w:rPr>
          <w:rFonts w:ascii="宋体" w:hAnsi="宋体"/>
          <w:bCs/>
          <w:sz w:val="24"/>
        </w:rPr>
      </w:pPr>
      <w:bookmarkStart w:id="450" w:name="_Toc444350243"/>
      <w:bookmarkStart w:id="451" w:name="_Toc474271718"/>
      <w:r w:rsidRPr="00481206">
        <w:rPr>
          <w:rFonts w:ascii="宋体" w:hAnsi="宋体" w:hint="eastAsia"/>
          <w:bCs/>
          <w:sz w:val="24"/>
        </w:rPr>
        <w:t>二、利率期货的产生与发展</w:t>
      </w:r>
      <w:bookmarkEnd w:id="450"/>
      <w:bookmarkEnd w:id="451"/>
    </w:p>
    <w:p w:rsidR="00481206" w:rsidRPr="00481206" w:rsidRDefault="00481206" w:rsidP="00481206">
      <w:pPr>
        <w:spacing w:line="360" w:lineRule="auto"/>
        <w:ind w:left="420"/>
        <w:rPr>
          <w:rFonts w:ascii="宋体" w:hAnsi="宋体"/>
          <w:bCs/>
          <w:sz w:val="24"/>
        </w:rPr>
      </w:pPr>
      <w:r w:rsidRPr="00481206">
        <w:rPr>
          <w:rFonts w:ascii="宋体" w:hAnsi="宋体" w:hint="eastAsia"/>
          <w:bCs/>
          <w:sz w:val="24"/>
        </w:rPr>
        <w:t>（一）利率期货的产生</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利率期货产生的背景：规避各种利率风险。所谓利率风险，就是指因市场利率的不确定性变动造成的损失。布雷顿森林体系的崩溃、石油危机的冲击、通货膨胀率的攀升以及金融自由化的不断发展，使利率的波动越来越频繁，利率风险也越来越大，这导致了利率期货的产生。</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第一个利率期货产生于1975年10月，是芝加哥商业交易所推出的政府国民抵押协会抵押凭证期货合约。</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（二）利率期货的发展</w:t>
      </w:r>
    </w:p>
    <w:p w:rsidR="00481206" w:rsidRPr="00481206" w:rsidRDefault="00481206" w:rsidP="00481206">
      <w:pPr>
        <w:spacing w:line="360" w:lineRule="auto"/>
        <w:ind w:firstLineChars="199" w:firstLine="478"/>
        <w:rPr>
          <w:rFonts w:ascii="宋体" w:hAnsi="宋体"/>
          <w:bCs/>
          <w:sz w:val="24"/>
        </w:rPr>
      </w:pPr>
      <w:r w:rsidRPr="00481206">
        <w:rPr>
          <w:rFonts w:ascii="宋体" w:hAnsi="宋体" w:hint="eastAsia"/>
          <w:bCs/>
          <w:sz w:val="24"/>
        </w:rPr>
        <w:t>1、1976年1月，芝加哥商业交易所国际货币市场分部推出了3月期的美国短期国库券期货交易，并获得了很大成功。原因：国库券信用等级高；流动性高；国库券的利率属于基准利率；交割方便。</w:t>
      </w:r>
    </w:p>
    <w:p w:rsidR="00481206" w:rsidRPr="00481206" w:rsidRDefault="00481206" w:rsidP="00481206">
      <w:pPr>
        <w:spacing w:line="360" w:lineRule="auto"/>
        <w:ind w:firstLineChars="199" w:firstLine="478"/>
        <w:rPr>
          <w:rFonts w:ascii="宋体" w:hAnsi="宋体"/>
          <w:bCs/>
          <w:sz w:val="24"/>
        </w:rPr>
      </w:pPr>
      <w:r w:rsidRPr="00481206">
        <w:rPr>
          <w:rFonts w:ascii="宋体" w:hAnsi="宋体" w:hint="eastAsia"/>
          <w:bCs/>
          <w:sz w:val="24"/>
        </w:rPr>
        <w:t>2、1977年8月，美国芝加哥期货交易所推出了长期国库券期货合约，目前该金融期货合约不仅是芝加哥期货交易所成交量最大的一种，其还是其他的期货交易所，以及国外期货交易所中最重要的品种。</w:t>
      </w:r>
    </w:p>
    <w:p w:rsidR="00481206" w:rsidRPr="00481206" w:rsidRDefault="00481206" w:rsidP="00481206">
      <w:pPr>
        <w:spacing w:line="360" w:lineRule="auto"/>
        <w:ind w:firstLineChars="199" w:firstLine="478"/>
        <w:rPr>
          <w:rFonts w:ascii="宋体" w:hAnsi="宋体"/>
          <w:bCs/>
          <w:sz w:val="24"/>
        </w:rPr>
      </w:pPr>
      <w:r w:rsidRPr="00481206">
        <w:rPr>
          <w:rFonts w:ascii="宋体" w:hAnsi="宋体" w:hint="eastAsia"/>
          <w:bCs/>
          <w:sz w:val="24"/>
        </w:rPr>
        <w:t>值得注意的是，美国芝加哥商业交易所推出的政府国民抵押协会抵押凭证期货合约也属于长期利率期货，但是由于其交割对象单一、流动性较差，因此其没有长期国库券期货合约发展较好，而长期国库券由于信用等级较高，流动性强，对利率变动比较敏感，交割方便，因此其期货合约成为市场的首选。</w:t>
      </w:r>
    </w:p>
    <w:p w:rsidR="00481206" w:rsidRPr="00481206" w:rsidRDefault="00481206" w:rsidP="00481206">
      <w:pPr>
        <w:spacing w:line="360" w:lineRule="auto"/>
        <w:ind w:firstLineChars="199" w:firstLine="478"/>
        <w:rPr>
          <w:rFonts w:ascii="宋体" w:hAnsi="宋体"/>
          <w:bCs/>
          <w:sz w:val="24"/>
        </w:rPr>
      </w:pPr>
      <w:r w:rsidRPr="00481206">
        <w:rPr>
          <w:rFonts w:ascii="宋体" w:hAnsi="宋体" w:hint="eastAsia"/>
          <w:bCs/>
          <w:sz w:val="24"/>
        </w:rPr>
        <w:lastRenderedPageBreak/>
        <w:t>3、由于短期国库券的价格变动幅度大于信用等级较低的其他短期债务工具，不利于投资者实现对其债市投资组合的高效的套期保值，因此1981年7月，芝加哥期货交易所和纽约期货交易所同时推出了美国国内的可转让定期存单期货交易，但由于实际交割的定期存单是由信用等级较低的银行发行，给投资者带来了诸多的不便，欧洲美元定期存款期货的产生解决了这一问题。</w:t>
      </w:r>
    </w:p>
    <w:p w:rsidR="00481206" w:rsidRPr="00481206" w:rsidRDefault="00481206" w:rsidP="00481206">
      <w:pPr>
        <w:spacing w:line="360" w:lineRule="auto"/>
        <w:ind w:firstLineChars="199" w:firstLine="478"/>
        <w:rPr>
          <w:rFonts w:ascii="宋体" w:hAnsi="宋体"/>
          <w:bCs/>
          <w:sz w:val="24"/>
        </w:rPr>
      </w:pPr>
      <w:r w:rsidRPr="00481206">
        <w:rPr>
          <w:rFonts w:ascii="宋体" w:hAnsi="宋体" w:hint="eastAsia"/>
          <w:bCs/>
          <w:sz w:val="24"/>
        </w:rPr>
        <w:t>4、利率期货史上另一个里程碑是，1981年12月，CME的国际货币市场分部推出的3月期欧洲美元定期存款期货合约，其交易量已经超过了短期国库券期货合约。</w:t>
      </w:r>
    </w:p>
    <w:p w:rsidR="00481206" w:rsidRPr="00481206" w:rsidRDefault="00481206" w:rsidP="00481206">
      <w:pPr>
        <w:spacing w:line="360" w:lineRule="auto"/>
        <w:ind w:firstLineChars="199" w:firstLine="478"/>
        <w:rPr>
          <w:rFonts w:ascii="宋体" w:hAnsi="宋体"/>
          <w:bCs/>
          <w:sz w:val="24"/>
        </w:rPr>
      </w:pPr>
      <w:r w:rsidRPr="00481206">
        <w:rPr>
          <w:rFonts w:ascii="宋体" w:hAnsi="宋体" w:hint="eastAsia"/>
          <w:bCs/>
          <w:sz w:val="24"/>
        </w:rPr>
        <w:t>总而言之，利率期货的发展取决于两个原因：一是人们对利率风险管理工具的需求具有多样性；二是利率期货合约在激烈的竞争中具有其他合约不具备的优缺点。</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三、利率期货的主要种类</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根据标的物的期限，利率期货可分为短期利率期货和长期利率期货。所谓短期利率期货，是指期货合约的标的物的期限不超过一年的各种期货合约，也就是说凡是在货币市场的各种债务凭证为标的物的利率期货就是短期利率期货，比如各种短期国库券、欧洲美元、商业票据、13周的美国国库券期货以及欧洲美元期货。</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所谓的长期利率期货，就是指期货合约的标的物的期限超过一年的各种利率期货，也就是说，凡是以资本市场的各种债务凭证作为标的物的利率期货就是长期利率期货，各种中、长期的国债期货就是长期利率期货的典型例子，比如30年期的美国长期国债期货以及10年期的美国中期国债期货。</w:t>
      </w:r>
    </w:p>
    <w:p w:rsidR="00481206" w:rsidRPr="00481206" w:rsidRDefault="00481206" w:rsidP="00481206">
      <w:pPr>
        <w:spacing w:line="360" w:lineRule="auto"/>
        <w:ind w:leftChars="150" w:left="315" w:firstLineChars="100" w:firstLine="240"/>
        <w:rPr>
          <w:rFonts w:ascii="宋体" w:hAnsi="宋体"/>
          <w:bCs/>
          <w:sz w:val="24"/>
        </w:rPr>
      </w:pPr>
      <w:r w:rsidRPr="00481206">
        <w:rPr>
          <w:rFonts w:ascii="宋体" w:hAnsi="宋体" w:hint="eastAsia"/>
          <w:bCs/>
          <w:sz w:val="24"/>
        </w:rPr>
        <w:t>四、短期利率期货的交易规则</w:t>
      </w:r>
    </w:p>
    <w:p w:rsidR="00481206" w:rsidRPr="00481206" w:rsidRDefault="00481206" w:rsidP="00481206">
      <w:pPr>
        <w:spacing w:line="360" w:lineRule="auto"/>
        <w:ind w:left="420"/>
        <w:rPr>
          <w:rFonts w:ascii="宋体" w:hAnsi="宋体"/>
          <w:bCs/>
          <w:sz w:val="24"/>
        </w:rPr>
      </w:pPr>
      <w:r w:rsidRPr="00481206">
        <w:rPr>
          <w:rFonts w:ascii="宋体" w:hAnsi="宋体" w:hint="eastAsia"/>
          <w:bCs/>
          <w:sz w:val="24"/>
        </w:rPr>
        <w:t>（一）国库券期货的交易规则</w:t>
      </w:r>
    </w:p>
    <w:p w:rsidR="00481206" w:rsidRPr="00481206" w:rsidRDefault="00481206" w:rsidP="00481206">
      <w:pPr>
        <w:spacing w:line="360" w:lineRule="auto"/>
        <w:ind w:leftChars="200" w:left="420" w:firstLineChars="49" w:firstLine="118"/>
        <w:rPr>
          <w:rFonts w:ascii="宋体" w:hAnsi="宋体"/>
          <w:bCs/>
          <w:sz w:val="24"/>
        </w:rPr>
      </w:pPr>
      <w:r w:rsidRPr="00481206">
        <w:rPr>
          <w:rFonts w:ascii="宋体" w:hAnsi="宋体" w:hint="eastAsia"/>
          <w:bCs/>
          <w:sz w:val="24"/>
        </w:rPr>
        <w:t>1.国库券期货的报价方式</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通常采用指数报价法。指数报价法是指以100减去年收益率或年利率作为该期货的价格报出。期货市场之所以采用指数报价法，是因为国库券的年贴现率与价格是反向变动的。比如当国库券的年贴现率为6%时，期货市场报出的国库券期货的价格为94；而当国库券的年贴现率为5.5%时，期货市场报出的国库券期货的价格为94.5。反之，如果12月份交割的短期国库券期货的结算价为93.97，则该国库券的年贴现率为6.03%，也就是100%-93.97%。</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一般来讲，短期国债的市场价格通常以一年360天一个月30天的贴现原理进行的，而短期国债期货的报价是100—年贴现率，短期国债的贴现率计算如下：</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26"/>
          <w:sz w:val="24"/>
        </w:rPr>
        <w:object w:dxaOrig="4880" w:dyaOrig="660">
          <v:shape id="_x0000_i1067" type="#_x0000_t75" style="width:243.75pt;height:33pt" o:ole="">
            <v:imagedata r:id="rId77" o:title=""/>
          </v:shape>
          <o:OLEObject Type="Embed" ProgID="Equation.3" ShapeID="_x0000_i1067" DrawAspect="Content" ObjectID="_1550061335" r:id="rId78"/>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例如：到期期限剩余为91天的短期国债，其面值为10000美元，价格为票面价格的98.493%，则该短期国债的贴现率为：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24"/>
          <w:sz w:val="24"/>
        </w:rPr>
        <w:object w:dxaOrig="3019" w:dyaOrig="620">
          <v:shape id="_x0000_i1068" type="#_x0000_t75" style="width:150.75pt;height:30.75pt" o:ole="">
            <v:imagedata r:id="rId79" o:title=""/>
          </v:shape>
          <o:OLEObject Type="Embed" ProgID="Equation.3" ShapeID="_x0000_i1068" DrawAspect="Content" ObjectID="_1550061336" r:id="rId80"/>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则该短期国债期货的报价为100-5.96=94.04。</w:t>
      </w:r>
    </w:p>
    <w:p w:rsidR="00481206" w:rsidRPr="00481206" w:rsidRDefault="00481206" w:rsidP="00481206">
      <w:pPr>
        <w:spacing w:line="360" w:lineRule="auto"/>
        <w:ind w:leftChars="200" w:left="420" w:firstLineChars="49" w:firstLine="118"/>
        <w:rPr>
          <w:rFonts w:ascii="宋体" w:hAnsi="宋体"/>
          <w:bCs/>
          <w:sz w:val="24"/>
        </w:rPr>
      </w:pPr>
      <w:r w:rsidRPr="00481206">
        <w:rPr>
          <w:rFonts w:ascii="宋体" w:hAnsi="宋体" w:hint="eastAsia"/>
          <w:bCs/>
          <w:sz w:val="24"/>
        </w:rPr>
        <w:t>2．国库券期货的合约规格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国库券期货合约的合约规格就是对该期货的交易单位、最小变动价位、每日价格波动幅度、合约月份、交易时间等内容进行规定。教材表2-3给出了13周美国国库券期货合约的合约规格。</w:t>
      </w:r>
    </w:p>
    <w:p w:rsidR="00481206" w:rsidRPr="00481206" w:rsidRDefault="00481206" w:rsidP="00481206">
      <w:pPr>
        <w:spacing w:line="360" w:lineRule="auto"/>
        <w:ind w:left="420"/>
        <w:rPr>
          <w:rFonts w:ascii="宋体" w:hAnsi="宋体"/>
          <w:bCs/>
          <w:sz w:val="24"/>
        </w:rPr>
      </w:pPr>
      <w:r w:rsidRPr="00481206">
        <w:rPr>
          <w:rFonts w:ascii="宋体" w:hAnsi="宋体" w:hint="eastAsia"/>
          <w:bCs/>
          <w:sz w:val="24"/>
        </w:rPr>
        <w:t>（二）欧洲美元期货的交易规则</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欧洲美元期货是以3个月期的欧洲美元定期存款为标的物，是管理利率风险的工具，而欧洲美元是一种被存在美国境外银行的存款，注意两者的区别。</w:t>
      </w:r>
    </w:p>
    <w:p w:rsidR="00481206" w:rsidRPr="00481206" w:rsidRDefault="00481206" w:rsidP="00481206">
      <w:pPr>
        <w:spacing w:line="360" w:lineRule="auto"/>
        <w:ind w:leftChars="200" w:left="420" w:firstLineChars="49" w:firstLine="118"/>
        <w:rPr>
          <w:rFonts w:ascii="宋体" w:hAnsi="宋体"/>
          <w:bCs/>
          <w:sz w:val="24"/>
        </w:rPr>
      </w:pPr>
      <w:r w:rsidRPr="00481206">
        <w:rPr>
          <w:rFonts w:ascii="宋体" w:hAnsi="宋体" w:hint="eastAsia"/>
          <w:bCs/>
          <w:sz w:val="24"/>
        </w:rPr>
        <w:t>1.欧洲美元期货的报价方式</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欧洲美元期货的报价也采用指数报价法，其“指数”是由100减去年利率得到的。需要说明的是，欧洲美元的利率通常以伦敦银行同业间拆解利率为基础的，即我们通常所说的Libor，则欧洲美元期货的价格一般为100-Libor。比如持有欧洲美元期货的投资者，其期货的价格为93.26，则相应的年LIBOR利率为6.74%</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般来讲，欧洲美元期货的“指数”与国库券期货的“指数”不同，这是因为国库券通常采用贴现的方法发行，所以投资者买进国库券实际上已近获得了国库券的利息，而欧洲美元定期存款只有在到期时才能收到利息。所以国库券与欧洲美元定期存款的年利率相同时，国库券的实际收益率要大于欧洲美元定期存款的收益率。</w:t>
      </w:r>
    </w:p>
    <w:p w:rsidR="00481206" w:rsidRPr="00481206" w:rsidRDefault="00481206" w:rsidP="00481206">
      <w:pPr>
        <w:spacing w:line="360" w:lineRule="auto"/>
        <w:ind w:leftChars="200" w:left="420" w:firstLineChars="49" w:firstLine="118"/>
        <w:rPr>
          <w:rFonts w:ascii="宋体" w:hAnsi="宋体"/>
          <w:bCs/>
          <w:sz w:val="24"/>
        </w:rPr>
      </w:pPr>
      <w:r w:rsidRPr="00481206">
        <w:rPr>
          <w:rFonts w:ascii="宋体" w:hAnsi="宋体" w:hint="eastAsia"/>
          <w:bCs/>
          <w:sz w:val="24"/>
        </w:rPr>
        <w:t>2．欧洲美元期货的合约规格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欧洲美元期货合约的合约规格就是对该期货的交易单位、最小变动价位、每日价格波动幅度、合约月份、交易时间等内容进行规定。教材表2-4给出了13周美国国库券期货合约的合约规格。</w:t>
      </w:r>
    </w:p>
    <w:p w:rsidR="00481206" w:rsidRPr="00481206" w:rsidRDefault="00481206" w:rsidP="00481206">
      <w:pPr>
        <w:spacing w:line="360" w:lineRule="auto"/>
        <w:ind w:firstLineChars="200" w:firstLine="480"/>
        <w:jc w:val="center"/>
        <w:rPr>
          <w:rFonts w:ascii="宋体" w:hAnsi="宋体"/>
          <w:bCs/>
          <w:sz w:val="24"/>
        </w:rPr>
      </w:pPr>
      <w:r w:rsidRPr="00481206">
        <w:rPr>
          <w:rFonts w:ascii="宋体" w:hAnsi="宋体" w:hint="eastAsia"/>
          <w:bCs/>
          <w:sz w:val="24"/>
        </w:rPr>
        <w:t>短期国债期货和欧洲美元期货的区别</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4401"/>
        <w:gridCol w:w="4887"/>
      </w:tblGrid>
      <w:tr w:rsidR="00481206" w:rsidRPr="00481206" w:rsidTr="00CF0F4C">
        <w:tc>
          <w:tcPr>
            <w:tcW w:w="2369"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短期国债</w:t>
            </w:r>
          </w:p>
        </w:tc>
        <w:tc>
          <w:tcPr>
            <w:tcW w:w="2631"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欧洲美元</w:t>
            </w:r>
          </w:p>
        </w:tc>
      </w:tr>
      <w:tr w:rsidR="00481206" w:rsidRPr="00481206" w:rsidTr="00CF0F4C">
        <w:tc>
          <w:tcPr>
            <w:tcW w:w="2369"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可交割的基础商品</w:t>
            </w:r>
          </w:p>
        </w:tc>
        <w:tc>
          <w:tcPr>
            <w:tcW w:w="2631"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不可交割的基础商品</w:t>
            </w:r>
          </w:p>
        </w:tc>
      </w:tr>
      <w:tr w:rsidR="00481206" w:rsidRPr="00481206" w:rsidTr="00CF0F4C">
        <w:tc>
          <w:tcPr>
            <w:tcW w:w="2369"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lastRenderedPageBreak/>
              <w:t>实物交割</w:t>
            </w:r>
          </w:p>
        </w:tc>
        <w:tc>
          <w:tcPr>
            <w:tcW w:w="2631"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现金交割</w:t>
            </w:r>
          </w:p>
        </w:tc>
      </w:tr>
      <w:tr w:rsidR="00481206" w:rsidRPr="00481206" w:rsidTr="00CF0F4C">
        <w:tc>
          <w:tcPr>
            <w:tcW w:w="2369"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基础商品可转让</w:t>
            </w:r>
          </w:p>
        </w:tc>
        <w:tc>
          <w:tcPr>
            <w:tcW w:w="2631"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基础商品不可转让</w:t>
            </w:r>
          </w:p>
        </w:tc>
      </w:tr>
      <w:tr w:rsidR="00481206" w:rsidRPr="00481206" w:rsidTr="00CF0F4C">
        <w:tc>
          <w:tcPr>
            <w:tcW w:w="2369"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以贴现原理计价</w:t>
            </w:r>
          </w:p>
        </w:tc>
        <w:tc>
          <w:tcPr>
            <w:tcW w:w="2631"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以年利率计价</w:t>
            </w:r>
          </w:p>
        </w:tc>
      </w:tr>
    </w:tbl>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其中值得注意的是，欧洲美元期货的交割方式是现金结算，即在最后交易日，交易所的结算单位根据最后结算价格与前一交易日之结算价格，计算出所有未平仓合约的盈亏余额，然后通过增加盈利者的保证金账户余额，而相应的减少亏损者的保证金账户余额，以结清交易双方期货的部位。总之，欧洲美元期货是第一个实行现金结算方式的金融期货产品。</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五、长期利率期货的交易规则</w:t>
      </w:r>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（一）长期国债期货的报价方式</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长期国债期货的报价方式不采用指数报价法，而是采用价格报价法。所谓价格报价法，是指以100美元面值作为报价单位，报出其期货价格。一般用一条短横线在中、长期国债期货行情表上隔开，左边的数字为每100美元面值债券的整数期货价格，通常为整数点，右边的数字为不足一个整数点的数字，该数字的含义是一个整数点的32分之几。</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比如：如果长期国债期货的报价为“98-16”，则表示每100美元面值的期货价格为98.50美元；又如“97-08”代表每100美元面值的期货价格为97.25美元。</w:t>
      </w:r>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（二）长期国债期货的合约规格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长期国债期货合约的合约规格就是对该期货的交易单位、最小变动价位、每日价格波动幅度、合约月份、交易时间等内容进行规定。教材表2-5给出了目前在芝加哥期货交易所上市的30年期美国长期国债期货合约的合约规格。下面将最小变动价位进行说明。</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所谓最小变动价位，即1点的1/32。长期国债期货的最小变动价位以“点”来表示。所谓“1个点”就是指交易单位的1%。如果交易单位为面值100000美元，1个点就代表面值的1000美元，而1000美元的1/32就是一张面值为100000美元长期国债期货合约的最小变动价位，即31.25美元。</w:t>
      </w:r>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（三）转换系数与发票金额</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1．转换系数的概念</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美国长期国债合约的标的债券是期限为30年，息票利率为6%的美国长期国债，然而在现货市场中存在的债券往往并不符合这种标准化的要求。因此，在长期国债期货合</w:t>
      </w:r>
      <w:r w:rsidRPr="00481206">
        <w:rPr>
          <w:rFonts w:ascii="宋体" w:hAnsi="宋体" w:hint="eastAsia"/>
          <w:bCs/>
          <w:sz w:val="24"/>
        </w:rPr>
        <w:lastRenderedPageBreak/>
        <w:t>约到期时，卖方可用于交割的债券并不仅限于这一标准化的债权，因此，CBOT规定，美国长期国债期货的卖方可用于交割的债券时剩余期限不少于15年的美国长期国债。但是在任何一个交割日，现货市场中无疑存在数十种符合这种交割等级的债券，这些债券无疑有着不同的剩余和不同的息票利率，从而有着不同的市场价格。所以，转换系数的作用就是通过该系数的调整，各种不同剩余期限和不同息票利率的可交割债券的价格，都可折算成期货合约所规定的标准化债券价格的一定倍数。因此，转换系数可定义如下：</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使中、长期国债期货的价格与各种不同息票利率和不同剩余期限的可交割债券的现货价格具有可比性的折算比率，其实质上就是将面值为1美元的可交割债券，在其剩余期限内的现金流量用6%的标准息票利率所折成的现值。因此确切的说，转换系数又叫做价格转换系数。</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2．转换系数的计算</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从上面的定义可以看出，在计算某可交割债券的转换系数时，必须首先确定该债券的剩余期限，然后以标准息票利率（6%）为贴现率，将面值1美元的该种债券在其剩余期限内的现金流量折算为现值，该现值就是该债券的转换系数。</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般来讲，剩余期限的确定以期货合约的第一交割日为起点，而以可交割债券的到期日或第一赎回日为终点，然后，将这一期间“按季取整”后的期限作为该债券的剩余期限。比如，某可交割债券的实际剩余期限为18年2.5个月，则在计算转换系数时，其剩余期限就被确定为18年（因为2.5个月不足一个季度），又如，某可交割债券的实际剩余期限为20年5个月，则在计算转换系数时，其剩余期限为20年3个月。</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转换系数的计算公式如下：</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设CF为转换系数，i为以年率表示的息票利率，s为债券在剩余期限内的付息次数（假设每半年一次），当s为偶数时，则：</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28"/>
          <w:sz w:val="24"/>
        </w:rPr>
        <w:object w:dxaOrig="2240" w:dyaOrig="940">
          <v:shape id="_x0000_i1069" type="#_x0000_t75" style="width:111.75pt;height:47.25pt" o:ole="">
            <v:imagedata r:id="rId81" o:title=""/>
          </v:shape>
          <o:OLEObject Type="Embed" ProgID="Equation.3" ShapeID="_x0000_i1069" DrawAspect="Content" ObjectID="_1550061337" r:id="rId82"/>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而当s为奇数时，则：</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30"/>
          <w:sz w:val="24"/>
        </w:rPr>
        <w:object w:dxaOrig="4380" w:dyaOrig="960">
          <v:shape id="_x0000_i1070" type="#_x0000_t75" style="width:219pt;height:48pt" o:ole="">
            <v:imagedata r:id="rId83" o:title=""/>
          </v:shape>
          <o:OLEObject Type="Embed" ProgID="Equation.3" ShapeID="_x0000_i1070" DrawAspect="Content" ObjectID="_1550061338" r:id="rId84"/>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举例说明：</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lastRenderedPageBreak/>
        <w:t>假定某可交割债券的剩余期限为18年2个月，息票利率为10%，在计算转换系数时，其剩余期限被确定为18年（因为2个月不足一个季度，省略）。假定该债券在到期前每6个月支付一次利息，则在18年内共付息36次，于是该债券的转换价格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28"/>
          <w:sz w:val="24"/>
        </w:rPr>
        <w:object w:dxaOrig="3200" w:dyaOrig="680">
          <v:shape id="_x0000_i1071" type="#_x0000_t75" style="width:159.75pt;height:33.75pt" o:ole="">
            <v:imagedata r:id="rId85" o:title=""/>
          </v:shape>
          <o:OLEObject Type="Embed" ProgID="Equation.3" ShapeID="_x0000_i1071" DrawAspect="Content" ObjectID="_1550061339" r:id="rId86"/>
        </w:objec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3．发票金额的确定</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所谓发票金额，是指在中、长期国债期货的交割日，由期货合约的买方向卖方实际支付的金额。这一金额是由期货交易所的结算单位根据卖方所交付的债券、实际交割日及交割结算价格算得的，其计算公式为：</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bCs/>
          <w:position w:val="-12"/>
          <w:sz w:val="24"/>
        </w:rPr>
        <w:object w:dxaOrig="2920" w:dyaOrig="360">
          <v:shape id="_x0000_i1072" type="#_x0000_t75" style="width:146.25pt;height:18pt" o:ole="">
            <v:imagedata r:id="rId87" o:title=""/>
          </v:shape>
          <o:OLEObject Type="Embed" ProgID="Equation.3" ShapeID="_x0000_i1072" DrawAspect="Content" ObjectID="_1550061340" r:id="rId88"/>
        </w:objec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其中，</w:t>
      </w:r>
      <w:r w:rsidRPr="00481206">
        <w:rPr>
          <w:rFonts w:ascii="宋体" w:hAnsi="宋体"/>
          <w:bCs/>
          <w:sz w:val="24"/>
        </w:rPr>
        <w:object w:dxaOrig="260" w:dyaOrig="360">
          <v:shape id="_x0000_i1073" type="#_x0000_t75" style="width:12.75pt;height:18pt" o:ole="">
            <v:imagedata r:id="rId89" o:title=""/>
          </v:shape>
          <o:OLEObject Type="Embed" ProgID="Equation.3" ShapeID="_x0000_i1073" DrawAspect="Content" ObjectID="_1550061341" r:id="rId90"/>
        </w:object>
      </w:r>
      <w:r w:rsidRPr="00481206">
        <w:rPr>
          <w:rFonts w:ascii="宋体" w:hAnsi="宋体" w:hint="eastAsia"/>
          <w:bCs/>
          <w:sz w:val="24"/>
        </w:rPr>
        <w:t>为发票金额，N为交割的期货合约数，</w:t>
      </w:r>
      <w:r w:rsidRPr="00481206">
        <w:rPr>
          <w:rFonts w:ascii="宋体" w:hAnsi="宋体"/>
          <w:bCs/>
          <w:sz w:val="24"/>
        </w:rPr>
        <w:object w:dxaOrig="260" w:dyaOrig="360">
          <v:shape id="_x0000_i1074" type="#_x0000_t75" style="width:12.75pt;height:18pt" o:ole="">
            <v:imagedata r:id="rId91" o:title=""/>
          </v:shape>
          <o:OLEObject Type="Embed" ProgID="Equation.3" ShapeID="_x0000_i1074" DrawAspect="Content" ObjectID="_1550061342" r:id="rId92"/>
        </w:object>
      </w:r>
      <w:r w:rsidRPr="00481206">
        <w:rPr>
          <w:rFonts w:ascii="宋体" w:hAnsi="宋体" w:hint="eastAsia"/>
          <w:bCs/>
          <w:sz w:val="24"/>
        </w:rPr>
        <w:t>为交割结算价格，</w:t>
      </w:r>
      <w:r w:rsidRPr="00481206">
        <w:rPr>
          <w:rFonts w:ascii="宋体" w:hAnsi="宋体"/>
          <w:bCs/>
          <w:sz w:val="24"/>
        </w:rPr>
        <w:object w:dxaOrig="400" w:dyaOrig="279">
          <v:shape id="_x0000_i1075" type="#_x0000_t75" style="width:20.25pt;height:14.25pt" o:ole="">
            <v:imagedata r:id="rId93" o:title=""/>
          </v:shape>
          <o:OLEObject Type="Embed" ProgID="Equation.3" ShapeID="_x0000_i1075" DrawAspect="Content" ObjectID="_1550061343" r:id="rId94"/>
        </w:object>
      </w:r>
      <w:r w:rsidRPr="00481206">
        <w:rPr>
          <w:rFonts w:ascii="宋体" w:hAnsi="宋体" w:hint="eastAsia"/>
          <w:bCs/>
          <w:sz w:val="24"/>
        </w:rPr>
        <w:t>为转换系数，</w:t>
      </w:r>
      <w:r w:rsidRPr="00481206">
        <w:rPr>
          <w:rFonts w:ascii="宋体" w:hAnsi="宋体"/>
          <w:bCs/>
          <w:sz w:val="24"/>
        </w:rPr>
        <w:object w:dxaOrig="260" w:dyaOrig="360">
          <v:shape id="_x0000_i1076" type="#_x0000_t75" style="width:12.75pt;height:18pt" o:ole="">
            <v:imagedata r:id="rId95" o:title=""/>
          </v:shape>
          <o:OLEObject Type="Embed" ProgID="Equation.3" ShapeID="_x0000_i1076" DrawAspect="Content" ObjectID="_1550061344" r:id="rId96"/>
        </w:object>
      </w:r>
      <w:r w:rsidRPr="00481206">
        <w:rPr>
          <w:rFonts w:ascii="宋体" w:hAnsi="宋体" w:hint="eastAsia"/>
          <w:bCs/>
          <w:sz w:val="24"/>
        </w:rPr>
        <w:t>为每一合约的应计利息。</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交割结算价格一般为交割日前两个营业日（亦即交割通知日）的结算价格。</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应计利息是指实际用于交割的现货债券从上次付息日至合约交割日这一期间所产生的利息。美国的中、长期国债都是每半年付息一次，其付息日和合约的交割日往往不在同一日。从上次付息日至合约交割日这一期间，债券利息理应由原来的债券持有者得到，因此期货合约的买方为取得这一债券，就必须付出这一期间的应计利息。每一合约的应计利息，可用公式计算为：</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bCs/>
          <w:position w:val="-24"/>
          <w:sz w:val="24"/>
        </w:rPr>
        <w:object w:dxaOrig="1540" w:dyaOrig="620">
          <v:shape id="_x0000_i1077" type="#_x0000_t75" style="width:77.25pt;height:30.75pt" o:ole="">
            <v:imagedata r:id="rId97" o:title=""/>
          </v:shape>
          <o:OLEObject Type="Embed" ProgID="Equation.3" ShapeID="_x0000_i1077" DrawAspect="Content" ObjectID="_1550061345" r:id="rId98"/>
        </w:object>
      </w:r>
    </w:p>
    <w:p w:rsidR="00481206" w:rsidRPr="00481206" w:rsidRDefault="00481206" w:rsidP="00481206">
      <w:pPr>
        <w:spacing w:line="360" w:lineRule="auto"/>
        <w:ind w:firstLineChars="196" w:firstLine="470"/>
        <w:rPr>
          <w:rFonts w:ascii="宋体" w:hAnsi="宋体"/>
          <w:sz w:val="24"/>
        </w:rPr>
      </w:pPr>
      <w:r w:rsidRPr="00481206">
        <w:rPr>
          <w:rFonts w:ascii="宋体" w:hAnsi="宋体" w:hint="eastAsia"/>
          <w:bCs/>
          <w:sz w:val="24"/>
        </w:rPr>
        <w:t>其中，</w:t>
      </w:r>
      <w:r w:rsidRPr="00481206">
        <w:rPr>
          <w:rFonts w:ascii="宋体" w:hAnsi="宋体"/>
          <w:position w:val="-12"/>
          <w:sz w:val="24"/>
        </w:rPr>
        <w:object w:dxaOrig="260" w:dyaOrig="360">
          <v:shape id="_x0000_i1078" type="#_x0000_t75" style="width:12.75pt;height:18pt" o:ole="">
            <v:imagedata r:id="rId99" o:title=""/>
          </v:shape>
          <o:OLEObject Type="Embed" ProgID="Equation.3" ShapeID="_x0000_i1078" DrawAspect="Content" ObjectID="_1550061346" r:id="rId100"/>
        </w:object>
      </w:r>
      <w:r w:rsidRPr="00481206">
        <w:rPr>
          <w:rFonts w:ascii="宋体" w:hAnsi="宋体" w:hint="eastAsia"/>
          <w:sz w:val="24"/>
        </w:rPr>
        <w:t>为应计利息，F为债券的面值（以中、长期国债期货合约所规定的交易单位而定）；i为实际用于交割的现货债券的息票利率，t为上次付息日至期货合约交割日的天数，H为半年的天数。</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举例说明：</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某投资者于2007年6月25日向CBOT的结算单位发出交割通知，准备以2027年8月15日到期、息票利率为11.25%的美国长期公债券交割其2007年6月份到期的美国长期国债期货合约5张，结算价格为97-24.</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为结算发票金额，我们必须知道该可交割债券的转换系数和应计利息。从2007年6月1日（第一交割日）到2027年8月15日（债券到期日）有20年2.5个月，故计算</w:t>
      </w:r>
      <w:r w:rsidRPr="00481206">
        <w:rPr>
          <w:rFonts w:ascii="宋体" w:hAnsi="宋体" w:hint="eastAsia"/>
          <w:bCs/>
          <w:sz w:val="24"/>
        </w:rPr>
        <w:lastRenderedPageBreak/>
        <w:t xml:space="preserve">转换系数的期限为20年，在此20年中付息40次，故转换系数为：      </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bCs/>
          <w:position w:val="-28"/>
          <w:sz w:val="24"/>
        </w:rPr>
        <w:object w:dxaOrig="3480" w:dyaOrig="680">
          <v:shape id="_x0000_i1079" type="#_x0000_t75" style="width:174pt;height:33.75pt" o:ole="">
            <v:imagedata r:id="rId101" o:title=""/>
          </v:shape>
          <o:OLEObject Type="Embed" ProgID="Equation.3" ShapeID="_x0000_i1079" DrawAspect="Content" ObjectID="_1550061347" r:id="rId102"/>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由于该可交割债券的到期日为2027年8月15日，上次付息日应是2007年2月15日，而从2月15日至6月27日（交割日）共有132天，同时，由于2007年为平年，故从2月15日（上次付息日）到8月15日（下次付息日）这半年的天数应是181天，于是应计利息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24"/>
          <w:sz w:val="24"/>
        </w:rPr>
        <w:object w:dxaOrig="3739" w:dyaOrig="620">
          <v:shape id="_x0000_i1080" type="#_x0000_t75" style="width:186.75pt;height:30.75pt" o:ole="">
            <v:imagedata r:id="rId103" o:title=""/>
          </v:shape>
          <o:OLEObject Type="Embed" ProgID="Equation.3" ShapeID="_x0000_i1080" DrawAspect="Content" ObjectID="_1550061348" r:id="rId104"/>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因此，发票金额为：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2"/>
          <w:sz w:val="24"/>
        </w:rPr>
        <w:object w:dxaOrig="5300" w:dyaOrig="360">
          <v:shape id="_x0000_i1081" type="#_x0000_t75" style="width:264.75pt;height:18pt" o:ole="">
            <v:imagedata r:id="rId105" o:title=""/>
          </v:shape>
          <o:OLEObject Type="Embed" ProgID="Equation.3" ShapeID="_x0000_i1081" DrawAspect="Content" ObjectID="_1550061349" r:id="rId106"/>
        </w:object>
      </w:r>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（四）最便宜可交割债券</w:t>
      </w:r>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一般来讲，“最便宜可交割债券”是期货合约的卖方选用的，可使其获得最大利润或最小损失的债券，因此“最便宜可交割债券”是指发票金额高于现货价格最大，或者低于现货价格最小的可交割债券。</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我们可以用判断“基差”的方法来确定“最便宜可交割债券”，基差是现货价格和期货价格之差。由于最便宜可交割债券时发票金额高于现货价格最大的可交割债券，也就相当于期货价格高于现货价格的最大，因此“基差”最小的债券就是最便宜可交割债券。</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在计算基差的过程中，必须将期货价格根据各种可交割债券的转换系数加以调整，然后将其期货价格换算为的约当现货价格，然后再以此价格与现货价格相比较，以得出各种可交割债券的基差，基差最小的就是最便宜可交割债券。</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举例说明：</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某长期国债期货的报价为94-08，现货市场中有5中可交割债券，其报价和转换系数如表所示：</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1831"/>
        <w:gridCol w:w="4360"/>
        <w:gridCol w:w="3097"/>
      </w:tblGrid>
      <w:tr w:rsidR="00481206" w:rsidRPr="00481206" w:rsidTr="00CF0F4C">
        <w:tc>
          <w:tcPr>
            <w:tcW w:w="986"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债券</w:t>
            </w:r>
          </w:p>
        </w:tc>
        <w:tc>
          <w:tcPr>
            <w:tcW w:w="2347"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现货市场报价</w:t>
            </w:r>
          </w:p>
        </w:tc>
        <w:tc>
          <w:tcPr>
            <w:tcW w:w="1667"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转换系数</w:t>
            </w:r>
          </w:p>
        </w:tc>
      </w:tr>
      <w:tr w:rsidR="00481206" w:rsidRPr="00481206" w:rsidTr="00CF0F4C">
        <w:tc>
          <w:tcPr>
            <w:tcW w:w="986"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1</w:t>
            </w:r>
          </w:p>
        </w:tc>
        <w:tc>
          <w:tcPr>
            <w:tcW w:w="2347"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98.30</w:t>
            </w:r>
          </w:p>
        </w:tc>
        <w:tc>
          <w:tcPr>
            <w:tcW w:w="1667"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1.0256</w:t>
            </w:r>
          </w:p>
        </w:tc>
      </w:tr>
      <w:tr w:rsidR="00481206" w:rsidRPr="00481206" w:rsidTr="00CF0F4C">
        <w:tc>
          <w:tcPr>
            <w:tcW w:w="986"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2</w:t>
            </w:r>
          </w:p>
        </w:tc>
        <w:tc>
          <w:tcPr>
            <w:tcW w:w="2347"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86.50</w:t>
            </w:r>
          </w:p>
        </w:tc>
        <w:tc>
          <w:tcPr>
            <w:tcW w:w="1667"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0.9028</w:t>
            </w:r>
          </w:p>
        </w:tc>
      </w:tr>
      <w:tr w:rsidR="00481206" w:rsidRPr="00481206" w:rsidTr="00CF0F4C">
        <w:tc>
          <w:tcPr>
            <w:tcW w:w="986"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3</w:t>
            </w:r>
          </w:p>
        </w:tc>
        <w:tc>
          <w:tcPr>
            <w:tcW w:w="2347"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145.75</w:t>
            </w:r>
          </w:p>
        </w:tc>
        <w:tc>
          <w:tcPr>
            <w:tcW w:w="1667"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1.5376</w:t>
            </w:r>
          </w:p>
        </w:tc>
      </w:tr>
      <w:tr w:rsidR="00481206" w:rsidRPr="00481206" w:rsidTr="00CF0F4C">
        <w:tc>
          <w:tcPr>
            <w:tcW w:w="986"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4</w:t>
            </w:r>
          </w:p>
        </w:tc>
        <w:tc>
          <w:tcPr>
            <w:tcW w:w="2347"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106.55</w:t>
            </w:r>
          </w:p>
        </w:tc>
        <w:tc>
          <w:tcPr>
            <w:tcW w:w="1667"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1.1023</w:t>
            </w:r>
          </w:p>
        </w:tc>
      </w:tr>
      <w:tr w:rsidR="00481206" w:rsidRPr="00481206" w:rsidTr="00CF0F4C">
        <w:tc>
          <w:tcPr>
            <w:tcW w:w="986"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lastRenderedPageBreak/>
              <w:t>5</w:t>
            </w:r>
          </w:p>
        </w:tc>
        <w:tc>
          <w:tcPr>
            <w:tcW w:w="2347"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124.60</w:t>
            </w:r>
          </w:p>
        </w:tc>
        <w:tc>
          <w:tcPr>
            <w:tcW w:w="1667"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1.2937</w:t>
            </w:r>
          </w:p>
        </w:tc>
      </w:tr>
    </w:tbl>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 xml:space="preserve"> 债券1的基差：98.3-94.25*1.0256=1.6372</w:t>
      </w:r>
    </w:p>
    <w:p w:rsidR="00481206" w:rsidRPr="00481206" w:rsidRDefault="00481206" w:rsidP="00481206">
      <w:pPr>
        <w:spacing w:line="360" w:lineRule="auto"/>
        <w:ind w:firstLineChars="250" w:firstLine="600"/>
        <w:rPr>
          <w:rFonts w:ascii="宋体" w:hAnsi="宋体"/>
          <w:bCs/>
          <w:sz w:val="24"/>
        </w:rPr>
      </w:pPr>
      <w:r w:rsidRPr="00481206">
        <w:rPr>
          <w:rFonts w:ascii="宋体" w:hAnsi="宋体" w:hint="eastAsia"/>
          <w:bCs/>
          <w:sz w:val="24"/>
        </w:rPr>
        <w:t>债券2的基差：86.50-94.25*0.9028=1.4111</w:t>
      </w:r>
    </w:p>
    <w:p w:rsidR="00481206" w:rsidRPr="00481206" w:rsidRDefault="00481206" w:rsidP="00481206">
      <w:pPr>
        <w:spacing w:line="360" w:lineRule="auto"/>
        <w:ind w:firstLineChars="250" w:firstLine="600"/>
        <w:rPr>
          <w:rFonts w:ascii="宋体" w:hAnsi="宋体"/>
          <w:bCs/>
          <w:sz w:val="24"/>
        </w:rPr>
      </w:pPr>
      <w:r w:rsidRPr="00481206">
        <w:rPr>
          <w:rFonts w:ascii="宋体" w:hAnsi="宋体" w:hint="eastAsia"/>
          <w:bCs/>
          <w:sz w:val="24"/>
        </w:rPr>
        <w:t>债券3的基差：145.75-94.25*1.5376=0.8312</w:t>
      </w:r>
    </w:p>
    <w:p w:rsidR="00481206" w:rsidRPr="00481206" w:rsidRDefault="00481206" w:rsidP="00481206">
      <w:pPr>
        <w:spacing w:line="360" w:lineRule="auto"/>
        <w:ind w:firstLineChars="250" w:firstLine="600"/>
        <w:rPr>
          <w:rFonts w:ascii="宋体" w:hAnsi="宋体"/>
          <w:bCs/>
          <w:sz w:val="24"/>
        </w:rPr>
      </w:pPr>
      <w:r w:rsidRPr="00481206">
        <w:rPr>
          <w:rFonts w:ascii="宋体" w:hAnsi="宋体" w:hint="eastAsia"/>
          <w:bCs/>
          <w:sz w:val="24"/>
        </w:rPr>
        <w:t>债券4的基差：106.55-94.25-1.1023=2.6582</w:t>
      </w:r>
    </w:p>
    <w:p w:rsidR="00481206" w:rsidRPr="00481206" w:rsidRDefault="00481206" w:rsidP="00481206">
      <w:pPr>
        <w:spacing w:line="360" w:lineRule="auto"/>
        <w:ind w:firstLineChars="250" w:firstLine="600"/>
        <w:rPr>
          <w:rFonts w:ascii="宋体" w:hAnsi="宋体"/>
          <w:bCs/>
          <w:sz w:val="24"/>
        </w:rPr>
      </w:pPr>
      <w:r w:rsidRPr="00481206">
        <w:rPr>
          <w:rFonts w:ascii="宋体" w:hAnsi="宋体" w:hint="eastAsia"/>
          <w:bCs/>
          <w:sz w:val="24"/>
        </w:rPr>
        <w:t>债券5的基差：124.60-94.25*1.2937=2.6688</w:t>
      </w:r>
    </w:p>
    <w:p w:rsidR="00481206" w:rsidRPr="00481206" w:rsidRDefault="00481206" w:rsidP="00481206">
      <w:pPr>
        <w:spacing w:line="360" w:lineRule="auto"/>
        <w:ind w:firstLineChars="250" w:firstLine="600"/>
        <w:rPr>
          <w:rFonts w:ascii="宋体" w:hAnsi="宋体"/>
          <w:bCs/>
          <w:sz w:val="24"/>
        </w:rPr>
      </w:pPr>
      <w:r w:rsidRPr="00481206">
        <w:rPr>
          <w:rFonts w:ascii="宋体" w:hAnsi="宋体" w:hint="eastAsia"/>
          <w:bCs/>
          <w:sz w:val="24"/>
        </w:rPr>
        <w:t>因此，债券3是最便宜可交割债券，因为虽然期货合约的卖方在现货市场中购买这种债券支付了较高的价格，但他在期货合约交割中也可取得较高的发票价格。</w:t>
      </w:r>
    </w:p>
    <w:p w:rsidR="00481206" w:rsidRPr="00481206" w:rsidRDefault="00481206" w:rsidP="00481206">
      <w:pPr>
        <w:spacing w:line="360" w:lineRule="auto"/>
        <w:ind w:firstLineChars="250" w:firstLine="600"/>
        <w:rPr>
          <w:rFonts w:ascii="宋体" w:hAnsi="宋体"/>
          <w:bCs/>
          <w:sz w:val="24"/>
        </w:rPr>
      </w:pPr>
      <w:r w:rsidRPr="00481206">
        <w:rPr>
          <w:rFonts w:ascii="宋体" w:hAnsi="宋体" w:hint="eastAsia"/>
          <w:bCs/>
          <w:sz w:val="24"/>
        </w:rPr>
        <w:t>六、利率期货的交割方式</w:t>
      </w:r>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w:t>
      </w:r>
      <w:r w:rsidRPr="00481206">
        <w:rPr>
          <w:rFonts w:ascii="宋体" w:hAnsi="宋体"/>
          <w:bCs/>
          <w:sz w:val="24"/>
        </w:rPr>
        <w:t>利率期货交割一般有实物交割和现金交割两种方式。</w:t>
      </w:r>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（一）实物交割</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sz w:val="24"/>
        </w:rPr>
        <w:t>实物交割是指期货合约的买卖双方于合约到期时，根据交易所制订的规程，通过转移期货合约标的物的所有权，将到期未</w:t>
      </w:r>
      <w:hyperlink r:id="rId107" w:tgtFrame="_blank" w:history="1">
        <w:r w:rsidRPr="00481206">
          <w:rPr>
            <w:rFonts w:ascii="宋体" w:hAnsi="宋体"/>
            <w:bCs/>
            <w:sz w:val="24"/>
          </w:rPr>
          <w:t>平仓</w:t>
        </w:r>
      </w:hyperlink>
      <w:r w:rsidRPr="00481206">
        <w:rPr>
          <w:rFonts w:ascii="宋体" w:hAnsi="宋体"/>
          <w:bCs/>
          <w:sz w:val="24"/>
        </w:rPr>
        <w:t>合约进行了结的行为。实物交割目前也是利率期货</w:t>
      </w:r>
      <w:hyperlink r:id="rId108" w:tgtFrame="_blank" w:history="1">
        <w:r w:rsidRPr="00481206">
          <w:rPr>
            <w:rFonts w:ascii="宋体" w:hAnsi="宋体"/>
            <w:bCs/>
            <w:sz w:val="24"/>
          </w:rPr>
          <w:t>中国</w:t>
        </w:r>
      </w:hyperlink>
      <w:r w:rsidRPr="00481206">
        <w:rPr>
          <w:rFonts w:ascii="宋体" w:hAnsi="宋体"/>
          <w:bCs/>
          <w:sz w:val="24"/>
        </w:rPr>
        <w:t>债期货交易一般采用的方式。</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sz w:val="24"/>
        </w:rPr>
        <w:t>由于国债期货的标的是名义债券，实际上并没有完全相同的债券，因此在实物交割中采用指定一篮子近似的国债来交割的方式，符合条件的交割券通过转换因子，进行发票金额计算，并由</w:t>
      </w:r>
      <w:hyperlink r:id="rId109" w:tgtFrame="_blank" w:history="1">
        <w:r w:rsidRPr="00481206">
          <w:rPr>
            <w:rFonts w:ascii="宋体" w:hAnsi="宋体"/>
            <w:bCs/>
            <w:sz w:val="24"/>
          </w:rPr>
          <w:t>卖方</w:t>
        </w:r>
      </w:hyperlink>
      <w:r w:rsidRPr="00481206">
        <w:rPr>
          <w:rFonts w:ascii="宋体" w:hAnsi="宋体"/>
          <w:bCs/>
          <w:sz w:val="24"/>
        </w:rPr>
        <w:t>选择最便宜可交割债，通过有关债券托管结算系统进行。由于这种</w:t>
      </w:r>
      <w:hyperlink r:id="rId110" w:tgtFrame="_blank" w:history="1">
        <w:r w:rsidRPr="00481206">
          <w:rPr>
            <w:rFonts w:ascii="宋体" w:hAnsi="宋体"/>
            <w:bCs/>
            <w:sz w:val="24"/>
          </w:rPr>
          <w:t>交割制度</w:t>
        </w:r>
      </w:hyperlink>
      <w:r w:rsidRPr="00481206">
        <w:rPr>
          <w:rFonts w:ascii="宋体" w:hAnsi="宋体"/>
          <w:bCs/>
          <w:sz w:val="24"/>
        </w:rPr>
        <w:t>在实践中操作便捷，在一定程度上不仅推动了</w:t>
      </w:r>
      <w:hyperlink r:id="rId111" w:tgtFrame="_blank" w:history="1">
        <w:r w:rsidRPr="00481206">
          <w:rPr>
            <w:rFonts w:ascii="宋体" w:hAnsi="宋体"/>
            <w:bCs/>
            <w:sz w:val="24"/>
          </w:rPr>
          <w:t>国债期货交易</w:t>
        </w:r>
      </w:hyperlink>
      <w:r w:rsidRPr="00481206">
        <w:rPr>
          <w:rFonts w:ascii="宋体" w:hAnsi="宋体"/>
          <w:bCs/>
          <w:sz w:val="24"/>
        </w:rPr>
        <w:t>的发展，也提高了现货市场的流动性。</w:t>
      </w:r>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（二）现金交割</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sz w:val="24"/>
        </w:rPr>
        <w:t>现金交割是指到期未平仓期货合约进行交割时，用</w:t>
      </w:r>
      <w:hyperlink r:id="rId112" w:tgtFrame="_blank" w:history="1">
        <w:r w:rsidRPr="00481206">
          <w:rPr>
            <w:rFonts w:ascii="宋体" w:hAnsi="宋体"/>
            <w:bCs/>
            <w:sz w:val="24"/>
          </w:rPr>
          <w:t>结算价</w:t>
        </w:r>
      </w:hyperlink>
      <w:r w:rsidRPr="00481206">
        <w:rPr>
          <w:rFonts w:ascii="宋体" w:hAnsi="宋体"/>
          <w:bCs/>
          <w:sz w:val="24"/>
        </w:rPr>
        <w:t>格来计算未平仓合约的盈亏，以现金支付的方式最终了结期货合约的交割方式。这种交割方式主要用于金融期货中期货标的物无法进行实物交割的期货合约，在利率期货中主要用于短期利率期货的交割。</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sz w:val="24"/>
        </w:rPr>
        <w:t>现金交割制度的主要成功条件在于现货指导价格的客观性，因为期货合约最后结算损益时是按照现货指导价格计算，交易者有可能利用操纵现货价格以达到影响现金结算价格的目的，因此如何设计最后结算价的采样及计算非常重要</w:t>
      </w:r>
      <w:r w:rsidRPr="00481206">
        <w:rPr>
          <w:rFonts w:ascii="宋体" w:hAnsi="宋体" w:hint="eastAsia"/>
          <w:bCs/>
          <w:sz w:val="24"/>
        </w:rPr>
        <w:t>。</w:t>
      </w:r>
    </w:p>
    <w:p w:rsidR="00481206" w:rsidRPr="00481206" w:rsidRDefault="00481206" w:rsidP="00481206">
      <w:pPr>
        <w:numPr>
          <w:ilvl w:val="0"/>
          <w:numId w:val="3"/>
        </w:numPr>
        <w:tabs>
          <w:tab w:val="left" w:pos="420"/>
        </w:tabs>
        <w:spacing w:line="360" w:lineRule="auto"/>
        <w:ind w:left="840"/>
        <w:outlineLvl w:val="1"/>
        <w:rPr>
          <w:rFonts w:ascii="宋体" w:hAnsi="宋体" w:cs="宋体"/>
          <w:bCs/>
          <w:sz w:val="24"/>
        </w:rPr>
      </w:pPr>
      <w:bookmarkStart w:id="452" w:name="_Toc444350244"/>
      <w:bookmarkStart w:id="453" w:name="_Toc474271719"/>
      <w:r w:rsidRPr="00481206">
        <w:rPr>
          <w:rFonts w:ascii="宋体" w:hAnsi="宋体" w:cs="宋体" w:hint="eastAsia"/>
          <w:bCs/>
          <w:sz w:val="24"/>
        </w:rPr>
        <w:t>第7讲（共90分钟）</w:t>
      </w:r>
      <w:bookmarkEnd w:id="452"/>
      <w:bookmarkEnd w:id="453"/>
    </w:p>
    <w:p w:rsidR="00481206" w:rsidRPr="00481206" w:rsidRDefault="00481206" w:rsidP="00481206">
      <w:pPr>
        <w:spacing w:line="360" w:lineRule="auto"/>
        <w:jc w:val="center"/>
        <w:rPr>
          <w:rFonts w:ascii="宋体" w:hAnsi="宋体"/>
          <w:bCs/>
          <w:sz w:val="24"/>
        </w:rPr>
      </w:pPr>
      <w:r w:rsidRPr="00481206">
        <w:rPr>
          <w:rFonts w:ascii="宋体" w:hAnsi="宋体" w:hint="eastAsia"/>
          <w:bCs/>
          <w:sz w:val="24"/>
        </w:rPr>
        <w:t>第三节   股价指数期货</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sz w:val="24"/>
        </w:rPr>
        <w:t>股指期货（Stock Index Futures）的全称是</w:t>
      </w:r>
      <w:hyperlink r:id="rId113" w:tgtFrame="_blank" w:history="1">
        <w:r w:rsidRPr="00481206">
          <w:rPr>
            <w:rFonts w:ascii="宋体" w:hAnsi="宋体"/>
            <w:bCs/>
            <w:sz w:val="24"/>
          </w:rPr>
          <w:t>股票价格指数期货</w:t>
        </w:r>
      </w:hyperlink>
      <w:r w:rsidRPr="00481206">
        <w:rPr>
          <w:rFonts w:ascii="宋体" w:hAnsi="宋体"/>
          <w:bCs/>
          <w:sz w:val="24"/>
        </w:rPr>
        <w:t>，也可称为</w:t>
      </w:r>
      <w:hyperlink r:id="rId114" w:tgtFrame="_blank" w:history="1">
        <w:r w:rsidRPr="00481206">
          <w:rPr>
            <w:rFonts w:ascii="宋体" w:hAnsi="宋体"/>
            <w:bCs/>
            <w:sz w:val="24"/>
          </w:rPr>
          <w:t>股价指</w:t>
        </w:r>
        <w:r w:rsidRPr="00481206">
          <w:rPr>
            <w:rFonts w:ascii="宋体" w:hAnsi="宋体"/>
            <w:bCs/>
            <w:sz w:val="24"/>
          </w:rPr>
          <w:lastRenderedPageBreak/>
          <w:t>数期货</w:t>
        </w:r>
      </w:hyperlink>
      <w:r w:rsidRPr="00481206">
        <w:rPr>
          <w:rFonts w:ascii="宋体" w:hAnsi="宋体"/>
          <w:bCs/>
          <w:sz w:val="24"/>
        </w:rPr>
        <w:t>、期指，是指以股价指数为标的物的</w:t>
      </w:r>
      <w:hyperlink r:id="rId115" w:tgtFrame="_blank" w:history="1">
        <w:r w:rsidRPr="00481206">
          <w:rPr>
            <w:rFonts w:ascii="宋体" w:hAnsi="宋体"/>
            <w:bCs/>
            <w:sz w:val="24"/>
          </w:rPr>
          <w:t>标准化期货合约</w:t>
        </w:r>
      </w:hyperlink>
      <w:r w:rsidRPr="00481206">
        <w:rPr>
          <w:rFonts w:ascii="宋体" w:hAnsi="宋体"/>
          <w:bCs/>
          <w:sz w:val="24"/>
        </w:rPr>
        <w:t>，双方约定在未来的某个特定日期，可以按照事先确定的股价指数的大小，进行标的指数的买卖。作为期货交易的一种类型，股指期货交易与普通商品期货交易具有基本相同的特征和流程。</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一、股价指数期货的产生与发展</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1982年2月，美国堪萨斯市期货交易所率先推出价值线综合指数期货合约，这是最早的股指期货合约。同年4月，芝加哥商业交易所推出了标准普尔500指数股指期货，5月，纽约期货交易所推出了纽约证券交易所综合指数。</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其他国家股指期货产生和发展状况</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1639"/>
        <w:gridCol w:w="1307"/>
        <w:gridCol w:w="2638"/>
        <w:gridCol w:w="3704"/>
      </w:tblGrid>
      <w:tr w:rsidR="00481206" w:rsidRPr="00481206" w:rsidTr="00CF0F4C">
        <w:tc>
          <w:tcPr>
            <w:tcW w:w="882"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时间</w:t>
            </w:r>
          </w:p>
        </w:tc>
        <w:tc>
          <w:tcPr>
            <w:tcW w:w="703"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国家</w:t>
            </w:r>
          </w:p>
        </w:tc>
        <w:tc>
          <w:tcPr>
            <w:tcW w:w="1420"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交易所</w:t>
            </w:r>
          </w:p>
        </w:tc>
        <w:tc>
          <w:tcPr>
            <w:tcW w:w="1994"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种类</w:t>
            </w:r>
          </w:p>
        </w:tc>
      </w:tr>
      <w:tr w:rsidR="00481206" w:rsidRPr="00481206" w:rsidTr="00CF0F4C">
        <w:tc>
          <w:tcPr>
            <w:tcW w:w="882"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1983年2月</w:t>
            </w:r>
          </w:p>
        </w:tc>
        <w:tc>
          <w:tcPr>
            <w:tcW w:w="703"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澳大利亚</w:t>
            </w:r>
          </w:p>
        </w:tc>
        <w:tc>
          <w:tcPr>
            <w:tcW w:w="1420"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悉尼期货交易所</w:t>
            </w:r>
          </w:p>
        </w:tc>
        <w:tc>
          <w:tcPr>
            <w:tcW w:w="1994"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普通股票价格指数期货</w:t>
            </w:r>
          </w:p>
        </w:tc>
      </w:tr>
      <w:tr w:rsidR="00481206" w:rsidRPr="00481206" w:rsidTr="00CF0F4C">
        <w:tc>
          <w:tcPr>
            <w:tcW w:w="882"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1984年1月</w:t>
            </w:r>
          </w:p>
        </w:tc>
        <w:tc>
          <w:tcPr>
            <w:tcW w:w="703"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加拿大</w:t>
            </w:r>
          </w:p>
        </w:tc>
        <w:tc>
          <w:tcPr>
            <w:tcW w:w="1420"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多伦多期货交易所</w:t>
            </w:r>
          </w:p>
        </w:tc>
        <w:tc>
          <w:tcPr>
            <w:tcW w:w="1994"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300种股票价格指数期货</w:t>
            </w:r>
          </w:p>
        </w:tc>
      </w:tr>
      <w:tr w:rsidR="00481206" w:rsidRPr="00481206" w:rsidTr="00CF0F4C">
        <w:tc>
          <w:tcPr>
            <w:tcW w:w="882"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1984年5月</w:t>
            </w:r>
          </w:p>
        </w:tc>
        <w:tc>
          <w:tcPr>
            <w:tcW w:w="703"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英国</w:t>
            </w:r>
          </w:p>
        </w:tc>
        <w:tc>
          <w:tcPr>
            <w:tcW w:w="1420"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伦敦国际期货交易所</w:t>
            </w:r>
          </w:p>
        </w:tc>
        <w:tc>
          <w:tcPr>
            <w:tcW w:w="1994"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100种股票价格指数期货</w:t>
            </w:r>
          </w:p>
        </w:tc>
      </w:tr>
      <w:tr w:rsidR="00481206" w:rsidRPr="00481206" w:rsidTr="00CF0F4C">
        <w:tc>
          <w:tcPr>
            <w:tcW w:w="882"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1986年5月</w:t>
            </w:r>
          </w:p>
        </w:tc>
        <w:tc>
          <w:tcPr>
            <w:tcW w:w="703"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香港</w:t>
            </w:r>
          </w:p>
        </w:tc>
        <w:tc>
          <w:tcPr>
            <w:tcW w:w="1420"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香港期货交易所</w:t>
            </w:r>
          </w:p>
        </w:tc>
        <w:tc>
          <w:tcPr>
            <w:tcW w:w="1994"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恒生指数期货交易</w:t>
            </w:r>
          </w:p>
        </w:tc>
      </w:tr>
      <w:tr w:rsidR="00481206" w:rsidRPr="00481206" w:rsidTr="00CF0F4C">
        <w:tc>
          <w:tcPr>
            <w:tcW w:w="882"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1986年9月</w:t>
            </w:r>
          </w:p>
        </w:tc>
        <w:tc>
          <w:tcPr>
            <w:tcW w:w="703"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新加坡</w:t>
            </w:r>
          </w:p>
        </w:tc>
        <w:tc>
          <w:tcPr>
            <w:tcW w:w="1420"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国际金融交易所</w:t>
            </w:r>
          </w:p>
        </w:tc>
        <w:tc>
          <w:tcPr>
            <w:tcW w:w="1994"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日经225种股票价格指数期货</w:t>
            </w:r>
          </w:p>
        </w:tc>
      </w:tr>
      <w:tr w:rsidR="00481206" w:rsidRPr="00481206" w:rsidTr="00CF0F4C">
        <w:tc>
          <w:tcPr>
            <w:tcW w:w="882"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1988年9月</w:t>
            </w:r>
          </w:p>
        </w:tc>
        <w:tc>
          <w:tcPr>
            <w:tcW w:w="703"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日本</w:t>
            </w:r>
          </w:p>
        </w:tc>
        <w:tc>
          <w:tcPr>
            <w:tcW w:w="1420"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东京证券交易所</w:t>
            </w:r>
          </w:p>
        </w:tc>
        <w:tc>
          <w:tcPr>
            <w:tcW w:w="1994"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东证股价指数期货</w:t>
            </w:r>
          </w:p>
        </w:tc>
      </w:tr>
      <w:tr w:rsidR="00481206" w:rsidRPr="00481206" w:rsidTr="00CF0F4C">
        <w:tc>
          <w:tcPr>
            <w:tcW w:w="882"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2010年4月</w:t>
            </w:r>
          </w:p>
        </w:tc>
        <w:tc>
          <w:tcPr>
            <w:tcW w:w="703"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中国</w:t>
            </w:r>
          </w:p>
        </w:tc>
        <w:tc>
          <w:tcPr>
            <w:tcW w:w="1420"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中国金融期货交易所</w:t>
            </w:r>
          </w:p>
        </w:tc>
        <w:tc>
          <w:tcPr>
            <w:tcW w:w="1994"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bCs/>
                <w:sz w:val="24"/>
              </w:rPr>
              <w:t>沪深300指数期货</w:t>
            </w:r>
          </w:p>
        </w:tc>
      </w:tr>
    </w:tbl>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二、股价指数期货的交易规则</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股指期货的交易规则和别的金融期货的交易规则大体上没有很大的区别，其只是在交易单位、报价方面会存在自己的特点。当然不同期货交易所推出的期货合约有其自身的交易规则。表2-8和2-9分别给出了大阪证券交易所日经225期货合约和小型恒生指数期货合约的交易规则，需要说明的是，香港交易所之所以要推出小型恒生指数期货合约，是因为以前的股指期货价值都很大，许多中、小投资者无法进行投资交易，因此香港交易所在开办恒生指数期货的基础上推出了小型恒生指数期货，用来为中小投资者投资所需要。股指期货交易的基本规则有：</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第一，保证金制度。</w:t>
      </w:r>
      <w:r w:rsidRPr="00481206">
        <w:rPr>
          <w:rFonts w:ascii="宋体" w:hAnsi="宋体"/>
          <w:bCs/>
          <w:sz w:val="24"/>
        </w:rPr>
        <w:t>投资者在进行期货交易时，必须按照其买卖期货合约价值的一定比例来缴纳资金，作为履行期货合约的财力保证，然后才能参与期货合约的买卖。这笔资金就是我们常说的保证金。</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第二，每日无负债结算制度。</w:t>
      </w:r>
      <w:r w:rsidRPr="00481206">
        <w:rPr>
          <w:rFonts w:ascii="宋体" w:hAnsi="宋体"/>
          <w:bCs/>
          <w:sz w:val="24"/>
        </w:rPr>
        <w:t>每日无负债结算制度也称为“逐日盯市”制度，简单说来，就是期货交易所要根据每日市场的价格波动对投资者所持有的合约计算盈亏并划</w:t>
      </w:r>
      <w:r w:rsidRPr="00481206">
        <w:rPr>
          <w:rFonts w:ascii="宋体" w:hAnsi="宋体"/>
          <w:bCs/>
          <w:sz w:val="24"/>
        </w:rPr>
        <w:lastRenderedPageBreak/>
        <w:t>转保证金账户中相应的资金。</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第三，价格限制制度。</w:t>
      </w:r>
      <w:hyperlink r:id="rId116" w:tgtFrame="_blank" w:history="1">
        <w:r w:rsidRPr="00481206">
          <w:rPr>
            <w:rFonts w:ascii="宋体" w:hAnsi="宋体"/>
            <w:bCs/>
            <w:sz w:val="24"/>
          </w:rPr>
          <w:t>涨跌停板</w:t>
        </w:r>
      </w:hyperlink>
      <w:r w:rsidRPr="00481206">
        <w:rPr>
          <w:rFonts w:ascii="宋体" w:hAnsi="宋体"/>
          <w:bCs/>
          <w:sz w:val="24"/>
        </w:rPr>
        <w:t>制度主要用来限制期货合约每日价格波动的最大幅度。</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第四，持仓限额制度。</w:t>
      </w:r>
      <w:r w:rsidRPr="00481206">
        <w:rPr>
          <w:rFonts w:ascii="宋体" w:hAnsi="宋体"/>
          <w:bCs/>
          <w:sz w:val="24"/>
        </w:rPr>
        <w:t>交易所为了防范市场操纵和少数</w:t>
      </w:r>
      <w:hyperlink r:id="rId117" w:tgtFrame="_blank" w:history="1">
        <w:r w:rsidRPr="00481206">
          <w:rPr>
            <w:rFonts w:ascii="宋体" w:hAnsi="宋体"/>
            <w:bCs/>
            <w:sz w:val="24"/>
          </w:rPr>
          <w:t>投资者</w:t>
        </w:r>
      </w:hyperlink>
      <w:r w:rsidRPr="00481206">
        <w:rPr>
          <w:rFonts w:ascii="宋体" w:hAnsi="宋体"/>
          <w:bCs/>
          <w:sz w:val="24"/>
        </w:rPr>
        <w:t>风险过度集中的情况，对会员和客户手中持有的合约数量上限进行一定的限制，这就是持仓限额制度。</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第五，强制平仓制度。</w:t>
      </w:r>
      <w:hyperlink r:id="rId118" w:tgtFrame="_blank" w:history="1">
        <w:r w:rsidRPr="00481206">
          <w:rPr>
            <w:rFonts w:ascii="宋体" w:hAnsi="宋体"/>
            <w:bCs/>
            <w:sz w:val="24"/>
          </w:rPr>
          <w:t>强行平仓</w:t>
        </w:r>
      </w:hyperlink>
      <w:r w:rsidRPr="00481206">
        <w:rPr>
          <w:rFonts w:ascii="宋体" w:hAnsi="宋体"/>
          <w:bCs/>
          <w:sz w:val="24"/>
        </w:rPr>
        <w:t>制度是与持仓限制制度和涨跌停板制度等相互配合的风险管理制度。当交易所会员或客户的交易保证金不足并未在规定时间内补足，或当会员或客户的持仓量超出规定的限额，或当会员或客户违规时，交易所为了防止风险进一步扩大，将对其持有的未平仓合约进行强制性平仓处理，这就是强行平仓制度。</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第六，大户报告制度。</w:t>
      </w:r>
      <w:r w:rsidRPr="00481206">
        <w:rPr>
          <w:rFonts w:ascii="宋体" w:hAnsi="宋体"/>
          <w:bCs/>
          <w:sz w:val="24"/>
        </w:rPr>
        <w:t>大户报告制度是指当投资者的持仓量达到交易所规定的持仓限额时，应通过结算会员或交易会员向交易所或监管机构报告其资金和持仓情况</w:t>
      </w:r>
      <w:r w:rsidRPr="00481206">
        <w:rPr>
          <w:rFonts w:ascii="宋体" w:hAnsi="宋体" w:hint="eastAsia"/>
          <w:bCs/>
          <w:sz w:val="24"/>
        </w:rPr>
        <w:t>。</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第七，结算担保金制度。</w:t>
      </w:r>
      <w:r w:rsidRPr="00481206">
        <w:rPr>
          <w:rFonts w:ascii="宋体" w:hAnsi="宋体"/>
          <w:bCs/>
          <w:sz w:val="24"/>
        </w:rPr>
        <w:t xml:space="preserve">结算担保金是指由结算会员依交易所的规定缴存的，用于应对结算会员违约风险的共同担保资金。当个别结算会员出现违约时，在动用完该违约结算会员缴纳的结算担保金之后，可要求其他会员的结算担保金要按比例共同承担该会员的履约责任。结算会员联保机制的建立确保了市场在极端行情下的正常运作。 </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sz w:val="24"/>
        </w:rPr>
        <w:t>结算担保金分为基础担保金和变动担保金。基础担保金是指结算会员参与交易所结算交割业务必须缴纳的最低担保金数额。变动担保金是指结算会员随着结算业务量的增大，须向交易所增缴的担保金部分。</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三、股指期货与股票交易的不同</w:t>
      </w:r>
    </w:p>
    <w:p w:rsidR="00481206" w:rsidRPr="00481206" w:rsidRDefault="00481206" w:rsidP="00481206">
      <w:pPr>
        <w:spacing w:line="360" w:lineRule="auto"/>
        <w:ind w:firstLineChars="196" w:firstLine="502"/>
        <w:rPr>
          <w:rFonts w:ascii="宋体" w:hAnsi="宋体"/>
          <w:bCs/>
          <w:sz w:val="24"/>
        </w:rPr>
      </w:pPr>
      <w:r w:rsidRPr="00481206">
        <w:rPr>
          <w:rFonts w:ascii="宋体" w:hAnsi="宋体" w:cs="宋体" w:hint="eastAsia"/>
          <w:bCs/>
          <w:spacing w:val="8"/>
          <w:kern w:val="0"/>
          <w:sz w:val="24"/>
        </w:rPr>
        <w:t>第一，</w:t>
      </w:r>
      <w:r w:rsidRPr="00481206">
        <w:rPr>
          <w:rFonts w:ascii="宋体" w:hAnsi="宋体" w:cs="宋体"/>
          <w:bCs/>
          <w:spacing w:val="8"/>
          <w:kern w:val="0"/>
          <w:sz w:val="24"/>
        </w:rPr>
        <w:t>期货合约有到期日，不能无限期持有</w:t>
      </w:r>
      <w:r w:rsidRPr="00481206">
        <w:rPr>
          <w:rFonts w:ascii="宋体" w:hAnsi="宋体" w:cs="宋体" w:hint="eastAsia"/>
          <w:bCs/>
          <w:spacing w:val="8"/>
          <w:kern w:val="0"/>
          <w:sz w:val="24"/>
        </w:rPr>
        <w:t>。</w:t>
      </w:r>
      <w:hyperlink r:id="rId119" w:tgtFrame="_blank" w:history="1">
        <w:r w:rsidRPr="00481206">
          <w:rPr>
            <w:rFonts w:ascii="宋体" w:hAnsi="宋体"/>
            <w:bCs/>
            <w:sz w:val="24"/>
          </w:rPr>
          <w:t>股票</w:t>
        </w:r>
      </w:hyperlink>
      <w:r w:rsidRPr="00481206">
        <w:rPr>
          <w:rFonts w:ascii="宋体" w:hAnsi="宋体"/>
          <w:bCs/>
          <w:sz w:val="24"/>
        </w:rPr>
        <w:t>买入后可以一直持有，正常情况下股票数量不会减少。但股指期货都有固定的到期日，到期就要</w:t>
      </w:r>
      <w:hyperlink r:id="rId120" w:tgtFrame="_blank" w:history="1">
        <w:r w:rsidRPr="00481206">
          <w:rPr>
            <w:rFonts w:ascii="宋体" w:hAnsi="宋体"/>
            <w:bCs/>
            <w:sz w:val="24"/>
          </w:rPr>
          <w:t>摘牌</w:t>
        </w:r>
      </w:hyperlink>
      <w:r w:rsidRPr="00481206">
        <w:rPr>
          <w:rFonts w:ascii="宋体" w:hAnsi="宋体"/>
          <w:bCs/>
          <w:sz w:val="24"/>
        </w:rPr>
        <w:t>。</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第二，</w:t>
      </w:r>
      <w:r w:rsidRPr="00481206">
        <w:rPr>
          <w:rFonts w:ascii="宋体" w:hAnsi="宋体" w:cs="宋体"/>
          <w:bCs/>
          <w:spacing w:val="8"/>
          <w:kern w:val="0"/>
          <w:sz w:val="24"/>
        </w:rPr>
        <w:t>期货合约是保证金交易，必须每天结算</w:t>
      </w:r>
      <w:r w:rsidRPr="00481206">
        <w:rPr>
          <w:rFonts w:ascii="宋体" w:hAnsi="宋体" w:cs="宋体" w:hint="eastAsia"/>
          <w:bCs/>
          <w:spacing w:val="8"/>
          <w:kern w:val="0"/>
          <w:sz w:val="24"/>
        </w:rPr>
        <w:t>。</w:t>
      </w:r>
      <w:r w:rsidRPr="00481206">
        <w:rPr>
          <w:rFonts w:ascii="宋体" w:hAnsi="宋体"/>
          <w:bCs/>
          <w:sz w:val="24"/>
        </w:rPr>
        <w:t>股指</w:t>
      </w:r>
      <w:hyperlink r:id="rId121" w:tgtFrame="_blank" w:history="1">
        <w:r w:rsidRPr="00481206">
          <w:rPr>
            <w:rFonts w:ascii="宋体" w:hAnsi="宋体"/>
            <w:bCs/>
            <w:sz w:val="24"/>
          </w:rPr>
          <w:t>期货合约</w:t>
        </w:r>
      </w:hyperlink>
      <w:r w:rsidRPr="00481206">
        <w:rPr>
          <w:rFonts w:ascii="宋体" w:hAnsi="宋体"/>
          <w:bCs/>
          <w:sz w:val="24"/>
        </w:rPr>
        <w:t>采用保证金交易，一般只要付出合约面值约10-15%的资金就可以买卖一张合约，这一方面提高了盈利的空间，但另一方面也带来了风险，因此必须每日结算盈亏。买入股票后在卖出以前，账面盈亏都是不结算的。</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第三，</w:t>
      </w:r>
      <w:r w:rsidRPr="00481206">
        <w:rPr>
          <w:rFonts w:ascii="宋体" w:hAnsi="宋体" w:cs="宋体"/>
          <w:bCs/>
          <w:spacing w:val="8"/>
          <w:kern w:val="0"/>
          <w:sz w:val="24"/>
        </w:rPr>
        <w:t>期货合约可以卖空</w:t>
      </w:r>
      <w:r w:rsidRPr="00481206">
        <w:rPr>
          <w:rFonts w:ascii="宋体" w:hAnsi="宋体" w:cs="宋体" w:hint="eastAsia"/>
          <w:bCs/>
          <w:spacing w:val="8"/>
          <w:kern w:val="0"/>
          <w:sz w:val="24"/>
        </w:rPr>
        <w:t>。</w:t>
      </w:r>
      <w:r w:rsidRPr="00481206">
        <w:rPr>
          <w:rFonts w:ascii="宋体" w:hAnsi="宋体"/>
          <w:bCs/>
          <w:sz w:val="24"/>
        </w:rPr>
        <w:t>股指期货合约可以十分方便地卖空，等价格回落后再买回。股票融券交易也可以卖空，但难度相对较大。当然一旦卖空后价格不跌反涨，投资者会面临损失。</w:t>
      </w:r>
    </w:p>
    <w:p w:rsidR="00481206" w:rsidRPr="00481206" w:rsidRDefault="00481206" w:rsidP="00481206">
      <w:pPr>
        <w:spacing w:line="360" w:lineRule="auto"/>
        <w:ind w:firstLineChars="195" w:firstLine="499"/>
        <w:rPr>
          <w:rFonts w:ascii="宋体" w:hAnsi="宋体" w:cs="宋体"/>
          <w:bCs/>
          <w:spacing w:val="8"/>
          <w:kern w:val="0"/>
          <w:sz w:val="24"/>
        </w:rPr>
      </w:pPr>
      <w:r w:rsidRPr="00481206">
        <w:rPr>
          <w:rFonts w:ascii="宋体" w:hAnsi="宋体" w:cs="宋体" w:hint="eastAsia"/>
          <w:bCs/>
          <w:spacing w:val="8"/>
          <w:kern w:val="0"/>
          <w:sz w:val="24"/>
        </w:rPr>
        <w:t>第四，</w:t>
      </w:r>
      <w:r w:rsidRPr="00481206">
        <w:rPr>
          <w:rFonts w:ascii="宋体" w:hAnsi="宋体" w:cs="宋体"/>
          <w:bCs/>
          <w:spacing w:val="8"/>
          <w:kern w:val="0"/>
          <w:sz w:val="24"/>
        </w:rPr>
        <w:t>市场的流动性较高</w:t>
      </w:r>
      <w:r w:rsidRPr="00481206">
        <w:rPr>
          <w:rFonts w:ascii="宋体" w:hAnsi="宋体" w:cs="宋体" w:hint="eastAsia"/>
          <w:bCs/>
          <w:spacing w:val="8"/>
          <w:kern w:val="0"/>
          <w:sz w:val="24"/>
        </w:rPr>
        <w:t>。</w:t>
      </w:r>
    </w:p>
    <w:p w:rsidR="00481206" w:rsidRPr="00481206" w:rsidRDefault="00481206" w:rsidP="00481206">
      <w:pPr>
        <w:spacing w:line="360" w:lineRule="auto"/>
        <w:ind w:firstLineChars="195" w:firstLine="499"/>
        <w:rPr>
          <w:rFonts w:ascii="宋体" w:hAnsi="宋体" w:cs="宋体"/>
          <w:bCs/>
          <w:spacing w:val="8"/>
          <w:kern w:val="0"/>
          <w:sz w:val="24"/>
        </w:rPr>
      </w:pPr>
      <w:r w:rsidRPr="00481206">
        <w:rPr>
          <w:rFonts w:ascii="宋体" w:hAnsi="宋体" w:cs="宋体" w:hint="eastAsia"/>
          <w:bCs/>
          <w:spacing w:val="8"/>
          <w:kern w:val="0"/>
          <w:sz w:val="24"/>
        </w:rPr>
        <w:t>第五，</w:t>
      </w:r>
      <w:r w:rsidRPr="00481206">
        <w:rPr>
          <w:rFonts w:ascii="宋体" w:hAnsi="宋体" w:cs="宋体"/>
          <w:bCs/>
          <w:spacing w:val="8"/>
          <w:kern w:val="0"/>
          <w:sz w:val="24"/>
        </w:rPr>
        <w:t>股指期货实行现金交割方式</w:t>
      </w:r>
      <w:r w:rsidRPr="00481206">
        <w:rPr>
          <w:rFonts w:ascii="宋体" w:hAnsi="宋体" w:cs="宋体" w:hint="eastAsia"/>
          <w:bCs/>
          <w:spacing w:val="8"/>
          <w:kern w:val="0"/>
          <w:sz w:val="24"/>
        </w:rPr>
        <w:t>。而股票投资需在交易时进行交割。</w:t>
      </w:r>
    </w:p>
    <w:p w:rsidR="00481206" w:rsidRPr="00481206" w:rsidRDefault="00481206" w:rsidP="00481206">
      <w:pPr>
        <w:spacing w:line="360" w:lineRule="auto"/>
        <w:ind w:firstLineChars="195" w:firstLine="499"/>
        <w:rPr>
          <w:rFonts w:ascii="宋体" w:hAnsi="宋体" w:cs="宋体"/>
          <w:bCs/>
          <w:spacing w:val="8"/>
          <w:kern w:val="0"/>
          <w:sz w:val="24"/>
        </w:rPr>
      </w:pPr>
      <w:r w:rsidRPr="00481206">
        <w:rPr>
          <w:rFonts w:ascii="宋体" w:hAnsi="宋体" w:cs="宋体" w:hint="eastAsia"/>
          <w:bCs/>
          <w:spacing w:val="8"/>
          <w:kern w:val="0"/>
          <w:sz w:val="24"/>
        </w:rPr>
        <w:lastRenderedPageBreak/>
        <w:t>第六，</w:t>
      </w:r>
      <w:r w:rsidRPr="00481206">
        <w:rPr>
          <w:rFonts w:ascii="宋体" w:hAnsi="宋体" w:cs="宋体"/>
          <w:bCs/>
          <w:spacing w:val="8"/>
          <w:kern w:val="0"/>
          <w:sz w:val="24"/>
        </w:rPr>
        <w:t>股指期货实行T+0交易，而股票实行T+1交易</w:t>
      </w:r>
      <w:r w:rsidRPr="00481206">
        <w:rPr>
          <w:rFonts w:ascii="宋体" w:hAnsi="宋体" w:cs="宋体" w:hint="eastAsia"/>
          <w:bCs/>
          <w:spacing w:val="8"/>
          <w:kern w:val="0"/>
          <w:sz w:val="24"/>
        </w:rPr>
        <w:t>。</w:t>
      </w:r>
    </w:p>
    <w:p w:rsidR="00481206" w:rsidRPr="00481206" w:rsidRDefault="00481206" w:rsidP="00481206">
      <w:pPr>
        <w:spacing w:line="360" w:lineRule="auto"/>
        <w:ind w:firstLineChars="195" w:firstLine="499"/>
        <w:rPr>
          <w:rFonts w:ascii="宋体" w:hAnsi="宋体" w:cs="宋体"/>
          <w:bCs/>
          <w:spacing w:val="8"/>
          <w:kern w:val="0"/>
          <w:sz w:val="24"/>
        </w:rPr>
      </w:pPr>
      <w:r w:rsidRPr="00481206">
        <w:rPr>
          <w:rFonts w:ascii="宋体" w:hAnsi="宋体" w:cs="宋体" w:hint="eastAsia"/>
          <w:bCs/>
          <w:spacing w:val="8"/>
          <w:kern w:val="0"/>
          <w:sz w:val="24"/>
        </w:rPr>
        <w:t>四、</w:t>
      </w:r>
      <w:r w:rsidRPr="00481206">
        <w:rPr>
          <w:rFonts w:ascii="宋体" w:hAnsi="宋体" w:hint="eastAsia"/>
          <w:bCs/>
          <w:sz w:val="24"/>
        </w:rPr>
        <w:t>股指期货的作用</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第一，</w:t>
      </w:r>
      <w:r w:rsidRPr="00481206">
        <w:rPr>
          <w:rFonts w:ascii="宋体" w:hAnsi="宋体"/>
          <w:bCs/>
          <w:sz w:val="24"/>
        </w:rPr>
        <w:t>对股票投资组合进行风险管理，即防范</w:t>
      </w:r>
      <w:hyperlink r:id="rId122" w:tgtFrame="_blank" w:history="1">
        <w:r w:rsidRPr="00481206">
          <w:rPr>
            <w:rFonts w:ascii="宋体" w:hAnsi="宋体"/>
            <w:bCs/>
            <w:sz w:val="24"/>
          </w:rPr>
          <w:t>系统性风险</w:t>
        </w:r>
      </w:hyperlink>
      <w:r w:rsidRPr="00481206">
        <w:rPr>
          <w:rFonts w:ascii="宋体" w:hAnsi="宋体"/>
          <w:bCs/>
          <w:sz w:val="24"/>
        </w:rPr>
        <w:t>(我们平常所说的大盘风险)。通常我们使用</w:t>
      </w:r>
      <w:hyperlink r:id="rId123" w:tgtFrame="_blank" w:history="1">
        <w:r w:rsidRPr="00481206">
          <w:rPr>
            <w:rFonts w:ascii="宋体" w:hAnsi="宋体"/>
            <w:bCs/>
            <w:sz w:val="24"/>
          </w:rPr>
          <w:t>套期保值</w:t>
        </w:r>
      </w:hyperlink>
      <w:r w:rsidRPr="00481206">
        <w:rPr>
          <w:rFonts w:ascii="宋体" w:hAnsi="宋体"/>
          <w:bCs/>
          <w:sz w:val="24"/>
        </w:rPr>
        <w:t xml:space="preserve">来管理我们的股票投资风险。 </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第二，</w:t>
      </w:r>
      <w:r w:rsidRPr="00481206">
        <w:rPr>
          <w:rFonts w:ascii="宋体" w:hAnsi="宋体"/>
          <w:bCs/>
          <w:sz w:val="24"/>
        </w:rPr>
        <w:t>利用股指期货进行</w:t>
      </w:r>
      <w:hyperlink r:id="rId124" w:tgtFrame="_blank" w:history="1">
        <w:r w:rsidRPr="00481206">
          <w:rPr>
            <w:rFonts w:ascii="宋体" w:hAnsi="宋体"/>
            <w:bCs/>
            <w:sz w:val="24"/>
          </w:rPr>
          <w:t>套利</w:t>
        </w:r>
      </w:hyperlink>
      <w:r w:rsidRPr="00481206">
        <w:rPr>
          <w:rFonts w:ascii="宋体" w:hAnsi="宋体"/>
          <w:bCs/>
          <w:sz w:val="24"/>
        </w:rPr>
        <w:t xml:space="preserve">。所谓套利，就是利用股指期货定价偏差，通过买入股指期货标的指数成分股并同时卖出股指期货，或者卖空股指期货标的指数成分股并同时买入股指期货，来获得无风险收益。 </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第三，</w:t>
      </w:r>
      <w:r w:rsidRPr="00481206">
        <w:rPr>
          <w:rFonts w:ascii="宋体" w:hAnsi="宋体"/>
          <w:bCs/>
          <w:sz w:val="24"/>
        </w:rPr>
        <w:t>作为一个杠杆性的投资工具。由于股指期货保证金交易，只要判断方向正确，就可能获得很高的收益。例如如果保证金为10%，买入1张</w:t>
      </w:r>
      <w:hyperlink r:id="rId125" w:tgtFrame="_blank" w:history="1">
        <w:r w:rsidRPr="00481206">
          <w:rPr>
            <w:rFonts w:ascii="宋体" w:hAnsi="宋体"/>
            <w:bCs/>
            <w:sz w:val="24"/>
          </w:rPr>
          <w:t>沪深300指数</w:t>
        </w:r>
      </w:hyperlink>
      <w:r w:rsidRPr="00481206">
        <w:rPr>
          <w:rFonts w:ascii="宋体" w:hAnsi="宋体"/>
          <w:bCs/>
          <w:sz w:val="24"/>
        </w:rPr>
        <w:t>期货，那么只要股指期货涨了5%，相对于保证金来说，就可获利50%，当然如果判断方向失误，也会发生同样的亏损。</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五、沪深300股指期货</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sz w:val="24"/>
        </w:rPr>
        <w:t>中国证监会有关部门负责人2010年2月20日宣布，证监会已正式批复中国金融期货交易所沪深300股指期货合约和业务规则，至此股指期货市场的主要制度已全部发布。2010年2月22日9时起，正式接受投资者开户申请。公布沪深300股指期货合约自2010年4月16日起正式上市交易</w:t>
      </w:r>
      <w:r w:rsidRPr="00481206">
        <w:rPr>
          <w:rFonts w:ascii="宋体" w:hAnsi="宋体" w:hint="eastAsia"/>
          <w:bCs/>
          <w:sz w:val="24"/>
        </w:rPr>
        <w:t>。表2-10说明了中国金融期货交易所推出的沪深300指数股指期货的合约规则，下面对几项进行说明：</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第一，合约乘数。沪深300指数期货的合约乘数是指沪深300指数每个指数点对应的人民币金额，目前设计的合约乘数为300元/点。</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第二，保证金。目前设计的沪深300指数期货的保证金水平为合约面值的12%（注意，书上标的是10%，12%是最终推出时的规定）。同时，交易所还可以根据市场的风险状况进行调整。</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第三，</w:t>
      </w:r>
      <w:r w:rsidRPr="00481206">
        <w:rPr>
          <w:rFonts w:ascii="宋体" w:hAnsi="宋体"/>
          <w:bCs/>
          <w:sz w:val="24"/>
        </w:rPr>
        <w:t>合约的涨跌停板幅度</w:t>
      </w:r>
      <w:r w:rsidRPr="00481206">
        <w:rPr>
          <w:rFonts w:ascii="宋体" w:hAnsi="宋体" w:hint="eastAsia"/>
          <w:bCs/>
          <w:sz w:val="24"/>
        </w:rPr>
        <w:t>。</w:t>
      </w:r>
      <w:r w:rsidRPr="00481206">
        <w:rPr>
          <w:rFonts w:ascii="宋体" w:hAnsi="宋体"/>
          <w:bCs/>
          <w:sz w:val="24"/>
        </w:rPr>
        <w:t>沪深300指数期货的涨跌停板为前一交易日结算价的正负10%。合约最后交易日不设涨跌停板。</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第四，</w:t>
      </w:r>
      <w:r w:rsidRPr="00481206">
        <w:rPr>
          <w:rFonts w:ascii="宋体" w:hAnsi="宋体"/>
          <w:bCs/>
          <w:sz w:val="24"/>
        </w:rPr>
        <w:t>合约的开盘价、收盘价、结算价、最后结算价</w:t>
      </w:r>
      <w:r w:rsidRPr="00481206">
        <w:rPr>
          <w:rFonts w:ascii="宋体" w:hAnsi="宋体" w:hint="eastAsia"/>
          <w:bCs/>
          <w:sz w:val="24"/>
        </w:rPr>
        <w:t>。</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sz w:val="24"/>
        </w:rPr>
        <w:t>沪深300指数期货的开盘价是指合约开市前五分钟内经集合竞价产生的成交价格。如果集合竞价未产生价格的，以当日第一笔成交价为当日开盘价。如果当日该合约全天无成交，以昨日结算价作为当日开盘价。</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sz w:val="24"/>
        </w:rPr>
        <w:t>沪深300指数期货的收盘价是指合约当日交易的最后一笔成交价格。如果当日该合约全天无成交，则以开盘价作为当日收盘价。</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sz w:val="24"/>
        </w:rPr>
        <w:lastRenderedPageBreak/>
        <w:t>沪深300指数期货的结算价是指合约最后一小时成交量的加权平均价。最后一小时无成交且价格在涨/跌停板上的，取停板价格作为当日结算价。最后一小时无成交且价格不在涨/跌停板上的，取前一小时成交量加权平均价。该时段仍无成交的，则再往前推一小时。以此类推。交易时间不足一小时的，则取全时段成交量加权平均价。</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sz w:val="24"/>
        </w:rPr>
        <w:t>沪深300指数期货的最后结算价是最后交易日现货指数最后两小时所有指数点的算术平均价。</w:t>
      </w:r>
    </w:p>
    <w:p w:rsidR="00481206" w:rsidRPr="00481206" w:rsidRDefault="00481206" w:rsidP="00481206">
      <w:pPr>
        <w:spacing w:line="360" w:lineRule="auto"/>
        <w:jc w:val="center"/>
        <w:rPr>
          <w:rFonts w:ascii="宋体" w:hAnsi="宋体"/>
          <w:bCs/>
          <w:sz w:val="24"/>
        </w:rPr>
      </w:pPr>
      <w:r w:rsidRPr="00481206">
        <w:rPr>
          <w:rFonts w:ascii="宋体" w:hAnsi="宋体" w:hint="eastAsia"/>
          <w:bCs/>
          <w:sz w:val="24"/>
        </w:rPr>
        <w:t>第四节 股票期货</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一、股票期货的定义</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sz w:val="24"/>
        </w:rPr>
        <w:t>股票期货是指以单只股票作为标的</w:t>
      </w:r>
      <w:r w:rsidRPr="00481206">
        <w:rPr>
          <w:rFonts w:ascii="宋体" w:hAnsi="宋体" w:hint="eastAsia"/>
          <w:bCs/>
          <w:sz w:val="24"/>
        </w:rPr>
        <w:t>物</w:t>
      </w:r>
      <w:r w:rsidRPr="00481206">
        <w:rPr>
          <w:rFonts w:ascii="宋体" w:hAnsi="宋体"/>
          <w:bCs/>
          <w:sz w:val="24"/>
        </w:rPr>
        <w:t>的期货，属于股票衍生品的一种。股票期货合约是一个买卖协定，注明于将来既定日期以既定价格(立约成价)买人或卖出相等于某一既定股票数量(合约成数)的金融价值。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需要说明的是，1987年，大阪证券交易所推出的一种被称为“大证50”的股价指数期货，这种期货合约不是采用现金结算的方式，而是以此50种股票作为一揽子股票进行实物交割，虽然这种合约也被称为股价指数期货，并且以股价指数报价，但从交割的方式来看，其却类似于股票期货。</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sz w:val="24"/>
        </w:rPr>
        <w:t>在股票衍生品中，股票指数期货与期权诞生于80年代初；而股票期货则是80年代后期才开始出现，至今成交量不大，市场影响力较小。但进入21世纪后，股票期货作为一个相对较新的产品越来越受到人们的关注。</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二、股票期货投资相对于股票现货投资的特点</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第一，低成本。</w:t>
      </w:r>
      <w:r w:rsidRPr="00481206">
        <w:rPr>
          <w:rFonts w:ascii="宋体" w:hAnsi="宋体"/>
          <w:bCs/>
          <w:sz w:val="24"/>
        </w:rPr>
        <w:t>投资者不需要支付全部款项,经纪公司只要求存一笔保证金</w:t>
      </w:r>
      <w:r w:rsidRPr="00481206">
        <w:rPr>
          <w:rFonts w:ascii="宋体" w:hAnsi="宋体" w:hint="eastAsia"/>
          <w:bCs/>
          <w:sz w:val="24"/>
        </w:rPr>
        <w:t>，股票期货投资具有杠杆效应。</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第二，便利性。</w:t>
      </w:r>
      <w:r w:rsidRPr="00481206">
        <w:rPr>
          <w:rFonts w:ascii="宋体" w:hAnsi="宋体" w:cs="宋体" w:hint="eastAsia"/>
          <w:spacing w:val="8"/>
          <w:kern w:val="0"/>
          <w:sz w:val="24"/>
        </w:rPr>
        <w:t>许多股票期货</w:t>
      </w:r>
      <w:r w:rsidRPr="00481206">
        <w:rPr>
          <w:rFonts w:ascii="宋体" w:hAnsi="宋体"/>
          <w:bCs/>
          <w:sz w:val="24"/>
        </w:rPr>
        <w:t>可以使投资者在一个交易平台上交易许多以世界知名公司股票为标的的期货合约</w:t>
      </w:r>
      <w:r w:rsidRPr="00481206">
        <w:rPr>
          <w:rFonts w:ascii="宋体" w:hAnsi="宋体" w:hint="eastAsia"/>
          <w:bCs/>
          <w:sz w:val="24"/>
        </w:rPr>
        <w:t>，</w:t>
      </w:r>
      <w:r w:rsidRPr="00481206">
        <w:rPr>
          <w:rFonts w:ascii="宋体" w:hAnsi="宋体"/>
          <w:bCs/>
          <w:sz w:val="24"/>
        </w:rPr>
        <w:t>而如果交易股票现货则要在许多国家的证券交易所进行。</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第三，高效率。</w:t>
      </w:r>
      <w:r w:rsidRPr="00481206">
        <w:rPr>
          <w:rFonts w:ascii="宋体" w:hAnsi="宋体"/>
          <w:bCs/>
          <w:sz w:val="24"/>
        </w:rPr>
        <w:t>相对于股票现货,交易股票期货可以减少所需的资金</w:t>
      </w:r>
      <w:r w:rsidRPr="00481206">
        <w:rPr>
          <w:rFonts w:ascii="宋体" w:hAnsi="宋体" w:hint="eastAsia"/>
          <w:bCs/>
          <w:sz w:val="24"/>
        </w:rPr>
        <w:t>。</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三、股票期货的用途</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第一，对股票现货头寸进行套期保值。</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第二，可以进行做空交易，从股票价格的下跌中获益。</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第三，可以杠杆交易股票，用较小的资金对较大数量的股票进行交易。</w:t>
      </w:r>
    </w:p>
    <w:p w:rsidR="00481206" w:rsidRPr="00481206" w:rsidRDefault="00481206" w:rsidP="00481206">
      <w:pPr>
        <w:spacing w:line="360" w:lineRule="auto"/>
        <w:ind w:firstLineChars="200" w:firstLine="480"/>
        <w:outlineLvl w:val="1"/>
        <w:rPr>
          <w:rFonts w:ascii="宋体" w:hAnsi="宋体" w:cs="宋体"/>
          <w:bCs/>
          <w:sz w:val="24"/>
        </w:rPr>
      </w:pPr>
      <w:bookmarkStart w:id="454" w:name="_Toc430423420"/>
      <w:bookmarkStart w:id="455" w:name="_Toc444350245"/>
      <w:bookmarkStart w:id="456" w:name="_Toc474271720"/>
      <w:r w:rsidRPr="00481206">
        <w:rPr>
          <w:rFonts w:ascii="宋体" w:hAnsi="宋体" w:cs="宋体" w:hint="eastAsia"/>
          <w:bCs/>
          <w:sz w:val="24"/>
        </w:rPr>
        <w:t>7.3.5教学方法</w:t>
      </w:r>
      <w:bookmarkEnd w:id="454"/>
      <w:bookmarkEnd w:id="455"/>
      <w:bookmarkEnd w:id="456"/>
    </w:p>
    <w:p w:rsidR="00481206" w:rsidRPr="00481206" w:rsidRDefault="00481206" w:rsidP="00481206">
      <w:pPr>
        <w:spacing w:line="360" w:lineRule="auto"/>
        <w:ind w:firstLineChars="200" w:firstLine="480"/>
        <w:outlineLvl w:val="1"/>
        <w:rPr>
          <w:rFonts w:ascii="宋体" w:hAnsi="宋体" w:cs="宋体"/>
          <w:sz w:val="24"/>
        </w:rPr>
      </w:pPr>
      <w:bookmarkStart w:id="457" w:name="_Toc430423421"/>
      <w:bookmarkStart w:id="458" w:name="_Toc444350246"/>
      <w:bookmarkStart w:id="459" w:name="_Toc474271721"/>
      <w:r w:rsidRPr="00481206">
        <w:rPr>
          <w:rFonts w:ascii="宋体" w:hAnsi="宋体" w:cs="宋体" w:hint="eastAsia"/>
          <w:sz w:val="24"/>
        </w:rPr>
        <w:t>课堂讲授；设问；案例分析。</w:t>
      </w:r>
      <w:bookmarkEnd w:id="457"/>
      <w:bookmarkEnd w:id="458"/>
      <w:bookmarkEnd w:id="459"/>
    </w:p>
    <w:p w:rsidR="00481206" w:rsidRPr="00481206" w:rsidRDefault="00481206" w:rsidP="00481206">
      <w:pPr>
        <w:spacing w:line="360" w:lineRule="auto"/>
        <w:ind w:firstLineChars="200" w:firstLine="480"/>
        <w:outlineLvl w:val="1"/>
        <w:rPr>
          <w:rFonts w:ascii="宋体" w:hAnsi="宋体" w:cs="宋体"/>
          <w:bCs/>
          <w:sz w:val="24"/>
        </w:rPr>
      </w:pPr>
      <w:bookmarkStart w:id="460" w:name="_Toc430423422"/>
      <w:bookmarkStart w:id="461" w:name="_Toc444350247"/>
      <w:bookmarkStart w:id="462" w:name="_Toc474271722"/>
      <w:r w:rsidRPr="00481206">
        <w:rPr>
          <w:rFonts w:ascii="宋体" w:hAnsi="宋体" w:cs="宋体" w:hint="eastAsia"/>
          <w:bCs/>
          <w:sz w:val="24"/>
        </w:rPr>
        <w:lastRenderedPageBreak/>
        <w:t>7.3.6作业安排及课后反思</w:t>
      </w:r>
      <w:bookmarkEnd w:id="460"/>
      <w:bookmarkEnd w:id="461"/>
      <w:bookmarkEnd w:id="462"/>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463" w:name="_Toc444350248"/>
      <w:bookmarkStart w:id="464" w:name="_Toc474271723"/>
      <w:bookmarkStart w:id="465" w:name="_Toc430423424"/>
      <w:r w:rsidRPr="00481206">
        <w:rPr>
          <w:rFonts w:ascii="宋体" w:hAnsi="宋体" w:cs="宋体" w:hint="eastAsia"/>
          <w:sz w:val="24"/>
        </w:rPr>
        <w:t>1) 思考回答课后简答题题目；</w:t>
      </w:r>
      <w:bookmarkEnd w:id="463"/>
      <w:bookmarkEnd w:id="464"/>
    </w:p>
    <w:p w:rsidR="00481206" w:rsidRPr="00481206" w:rsidRDefault="00481206" w:rsidP="00481206">
      <w:pPr>
        <w:spacing w:line="360" w:lineRule="auto"/>
        <w:ind w:firstLineChars="200" w:firstLine="480"/>
        <w:outlineLvl w:val="1"/>
        <w:rPr>
          <w:rFonts w:ascii="宋体" w:hAnsi="宋体" w:cs="宋体"/>
          <w:sz w:val="24"/>
        </w:rPr>
      </w:pPr>
      <w:bookmarkStart w:id="466" w:name="_Toc444350249"/>
      <w:bookmarkStart w:id="467" w:name="_Toc474271724"/>
      <w:r w:rsidRPr="00481206">
        <w:rPr>
          <w:rFonts w:ascii="宋体" w:hAnsi="宋体" w:cs="宋体" w:hint="eastAsia"/>
          <w:sz w:val="24"/>
        </w:rPr>
        <w:t>2)</w:t>
      </w:r>
      <w:bookmarkEnd w:id="465"/>
      <w:r w:rsidRPr="00481206">
        <w:rPr>
          <w:rFonts w:ascii="宋体" w:hAnsi="宋体" w:cs="宋体" w:hint="eastAsia"/>
          <w:sz w:val="24"/>
        </w:rPr>
        <w:t>设有合资格债券B1、B2、B3，现货市场上的报价分别为：100.50、144.50、120.75；折算系数分别为：1.0832、1.5188、1.2615；最后交易日的结算价为：93-08。求最便宜债券。</w:t>
      </w:r>
      <w:bookmarkEnd w:id="466"/>
      <w:bookmarkEnd w:id="467"/>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bCs/>
          <w:sz w:val="24"/>
        </w:rPr>
        <w:t xml:space="preserve">    </w:t>
      </w:r>
      <w:bookmarkStart w:id="468" w:name="_Toc430423427"/>
      <w:bookmarkStart w:id="469" w:name="_Toc444350250"/>
      <w:bookmarkStart w:id="470" w:name="_Toc474271725"/>
      <w:r w:rsidRPr="00481206">
        <w:rPr>
          <w:rFonts w:ascii="宋体" w:hAnsi="宋体" w:cs="宋体" w:hint="eastAsia"/>
          <w:bCs/>
          <w:sz w:val="24"/>
        </w:rPr>
        <w:t>7.3.7课前准备情况及其他相关特殊要求</w:t>
      </w:r>
      <w:bookmarkEnd w:id="468"/>
      <w:bookmarkEnd w:id="469"/>
      <w:bookmarkEnd w:id="470"/>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471" w:name="_Toc430423428"/>
      <w:bookmarkStart w:id="472" w:name="_Toc444350251"/>
      <w:bookmarkStart w:id="473" w:name="_Toc474271726"/>
      <w:r w:rsidRPr="00481206">
        <w:rPr>
          <w:rFonts w:ascii="宋体" w:hAnsi="宋体" w:cs="宋体" w:hint="eastAsia"/>
          <w:bCs/>
          <w:sz w:val="24"/>
        </w:rPr>
        <w:t>教师：</w:t>
      </w:r>
      <w:r w:rsidRPr="00481206">
        <w:rPr>
          <w:rFonts w:ascii="宋体" w:hAnsi="宋体" w:cs="宋体" w:hint="eastAsia"/>
          <w:sz w:val="24"/>
        </w:rPr>
        <w:t>熟悉课程教学要点；梳理实施方案，明确执行步骤；准备经验素材。</w:t>
      </w:r>
      <w:bookmarkEnd w:id="471"/>
      <w:bookmarkEnd w:id="472"/>
      <w:bookmarkEnd w:id="473"/>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474" w:name="_Toc430423429"/>
      <w:bookmarkStart w:id="475" w:name="_Toc444350252"/>
      <w:bookmarkStart w:id="476" w:name="_Toc474271727"/>
      <w:r w:rsidRPr="00481206">
        <w:rPr>
          <w:rFonts w:ascii="宋体" w:hAnsi="宋体" w:cs="宋体" w:hint="eastAsia"/>
          <w:bCs/>
          <w:sz w:val="24"/>
        </w:rPr>
        <w:t>学生：</w:t>
      </w:r>
      <w:r w:rsidRPr="00481206">
        <w:rPr>
          <w:rFonts w:ascii="宋体" w:hAnsi="宋体" w:cs="宋体" w:hint="eastAsia"/>
          <w:sz w:val="24"/>
        </w:rPr>
        <w:t>预习复利的计算方法。</w:t>
      </w:r>
      <w:bookmarkEnd w:id="474"/>
      <w:bookmarkEnd w:id="475"/>
      <w:bookmarkEnd w:id="476"/>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bCs/>
          <w:sz w:val="24"/>
        </w:rPr>
        <w:t xml:space="preserve">    </w:t>
      </w:r>
      <w:bookmarkStart w:id="477" w:name="_Toc430423430"/>
      <w:bookmarkStart w:id="478" w:name="_Toc444350253"/>
      <w:bookmarkStart w:id="479" w:name="_Toc474271728"/>
      <w:r w:rsidRPr="00481206">
        <w:rPr>
          <w:rFonts w:ascii="宋体" w:hAnsi="宋体" w:cs="宋体" w:hint="eastAsia"/>
          <w:bCs/>
          <w:sz w:val="24"/>
        </w:rPr>
        <w:t>7.3.8参考资料</w:t>
      </w:r>
      <w:bookmarkEnd w:id="477"/>
      <w:bookmarkEnd w:id="478"/>
      <w:bookmarkEnd w:id="479"/>
    </w:p>
    <w:p w:rsidR="00481206" w:rsidRPr="00481206" w:rsidRDefault="00481206" w:rsidP="00481206">
      <w:pPr>
        <w:spacing w:line="360" w:lineRule="auto"/>
        <w:ind w:firstLineChars="200" w:firstLine="480"/>
        <w:outlineLvl w:val="1"/>
        <w:rPr>
          <w:rFonts w:ascii="宋体" w:hAnsi="宋体" w:cs="宋体"/>
          <w:sz w:val="24"/>
        </w:rPr>
      </w:pPr>
      <w:bookmarkStart w:id="480" w:name="_Toc444350254"/>
      <w:bookmarkStart w:id="481" w:name="_Toc474271729"/>
      <w:r w:rsidRPr="00481206">
        <w:rPr>
          <w:rFonts w:ascii="宋体" w:hAnsi="宋体" w:hint="eastAsia"/>
          <w:sz w:val="24"/>
        </w:rPr>
        <w:t>高鸿业.西方及经济学学习与教学手册（第二版）[M],北京：中国人民大学出版社，  2007.</w:t>
      </w:r>
      <w:bookmarkEnd w:id="480"/>
      <w:bookmarkEnd w:id="481"/>
    </w:p>
    <w:p w:rsidR="00481206" w:rsidRPr="00481206" w:rsidRDefault="00481206" w:rsidP="00481206">
      <w:pPr>
        <w:spacing w:line="360" w:lineRule="auto"/>
        <w:ind w:firstLineChars="200" w:firstLine="480"/>
        <w:outlineLvl w:val="1"/>
        <w:rPr>
          <w:rFonts w:ascii="宋体" w:hAnsi="宋体" w:cs="宋体"/>
          <w:bCs/>
          <w:sz w:val="24"/>
        </w:rPr>
      </w:pPr>
      <w:bookmarkStart w:id="482" w:name="_Toc444350255"/>
      <w:bookmarkStart w:id="483" w:name="_Toc474271730"/>
      <w:r w:rsidRPr="00481206">
        <w:rPr>
          <w:rFonts w:ascii="宋体" w:hAnsi="宋体" w:cs="宋体" w:hint="eastAsia"/>
          <w:bCs/>
          <w:sz w:val="24"/>
        </w:rPr>
        <w:t>任映国.国际投资学</w:t>
      </w:r>
      <w:r w:rsidRPr="00481206">
        <w:rPr>
          <w:rFonts w:ascii="宋体" w:hAnsi="宋体" w:cs="宋体" w:hint="eastAsia"/>
          <w:sz w:val="24"/>
        </w:rPr>
        <w:t>[M]</w:t>
      </w:r>
      <w:r w:rsidRPr="00481206">
        <w:rPr>
          <w:rFonts w:ascii="宋体" w:hAnsi="宋体" w:cs="宋体" w:hint="eastAsia"/>
          <w:bCs/>
          <w:sz w:val="24"/>
        </w:rPr>
        <w:t>，北京：中国金融出版社出版社，2001.</w:t>
      </w:r>
      <w:bookmarkEnd w:id="482"/>
      <w:bookmarkEnd w:id="483"/>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陈信华.金融衍生工具[M],上海：上海财经大学出版社，2009.</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叶永刚.衍生金融工具[M],中国金融出版社,2004.</w:t>
      </w:r>
    </w:p>
    <w:p w:rsidR="00481206" w:rsidRPr="00481206" w:rsidRDefault="00481206" w:rsidP="00481206">
      <w:pPr>
        <w:spacing w:line="360" w:lineRule="auto"/>
        <w:ind w:firstLineChars="196" w:firstLine="470"/>
        <w:rPr>
          <w:rFonts w:ascii="宋体" w:hAnsi="宋体"/>
          <w:sz w:val="24"/>
        </w:rPr>
      </w:pPr>
      <w:r w:rsidRPr="00481206">
        <w:rPr>
          <w:rFonts w:ascii="宋体" w:hAnsi="宋体" w:hint="eastAsia"/>
          <w:sz w:val="24"/>
        </w:rPr>
        <w:t>赫尔著.期权、期货和其他衍生品[M],华夏出版社,2011.</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sz w:val="24"/>
        </w:rPr>
        <w:t>Hull,John C. Option,Futures and Other Derivative Securities(Fourth Edition) [M],2000.</w:t>
      </w:r>
    </w:p>
    <w:p w:rsidR="00481206" w:rsidRPr="00481206" w:rsidRDefault="00481206" w:rsidP="00481206">
      <w:pPr>
        <w:pStyle w:val="3"/>
        <w:spacing w:before="0" w:after="0" w:line="360" w:lineRule="auto"/>
        <w:rPr>
          <w:rFonts w:ascii="宋体" w:hAnsi="宋体" w:cs="宋体"/>
          <w:bCs w:val="0"/>
          <w:sz w:val="28"/>
        </w:rPr>
      </w:pPr>
      <w:bookmarkStart w:id="484" w:name="_Toc474271731"/>
      <w:r w:rsidRPr="00481206">
        <w:rPr>
          <w:rFonts w:ascii="宋体" w:hAnsi="宋体" w:cs="宋体" w:hint="eastAsia"/>
          <w:bCs w:val="0"/>
          <w:sz w:val="28"/>
        </w:rPr>
        <w:t>7.4第四单元（共3讲）</w:t>
      </w:r>
      <w:bookmarkEnd w:id="484"/>
    </w:p>
    <w:p w:rsidR="00481206" w:rsidRPr="00481206" w:rsidRDefault="00481206" w:rsidP="00481206">
      <w:pPr>
        <w:spacing w:line="360" w:lineRule="auto"/>
        <w:ind w:firstLineChars="200" w:firstLine="480"/>
        <w:jc w:val="left"/>
        <w:outlineLvl w:val="1"/>
        <w:rPr>
          <w:rFonts w:ascii="宋体" w:hAnsi="宋体" w:cs="宋体"/>
          <w:bCs/>
          <w:sz w:val="24"/>
        </w:rPr>
      </w:pPr>
      <w:bookmarkStart w:id="485" w:name="_Toc430423437"/>
      <w:bookmarkStart w:id="486" w:name="_Toc444350257"/>
      <w:bookmarkStart w:id="487" w:name="_Toc474271732"/>
      <w:r w:rsidRPr="00481206">
        <w:rPr>
          <w:rFonts w:ascii="宋体" w:hAnsi="宋体" w:cs="宋体" w:hint="eastAsia"/>
          <w:bCs/>
          <w:sz w:val="24"/>
        </w:rPr>
        <w:t>7.4.1教学日期</w:t>
      </w:r>
      <w:bookmarkEnd w:id="485"/>
      <w:bookmarkEnd w:id="486"/>
      <w:bookmarkEnd w:id="487"/>
    </w:p>
    <w:p w:rsidR="00481206" w:rsidRPr="00481206" w:rsidRDefault="002B58B2" w:rsidP="00481206">
      <w:pPr>
        <w:spacing w:line="360" w:lineRule="auto"/>
        <w:ind w:firstLineChars="200" w:firstLine="480"/>
        <w:outlineLvl w:val="1"/>
        <w:rPr>
          <w:rFonts w:ascii="宋体" w:hAnsi="宋体" w:cs="宋体"/>
          <w:sz w:val="24"/>
        </w:rPr>
      </w:pPr>
      <w:bookmarkStart w:id="488" w:name="_Toc444350258"/>
      <w:bookmarkStart w:id="489" w:name="_Toc474271733"/>
      <w:r>
        <w:rPr>
          <w:rFonts w:ascii="宋体" w:hAnsi="宋体" w:cs="宋体" w:hint="eastAsia"/>
          <w:sz w:val="24"/>
        </w:rPr>
        <w:t>2017</w:t>
      </w:r>
      <w:r w:rsidR="00481206" w:rsidRPr="00481206">
        <w:rPr>
          <w:rFonts w:ascii="宋体" w:hAnsi="宋体" w:cs="宋体" w:hint="eastAsia"/>
          <w:sz w:val="24"/>
        </w:rPr>
        <w:t>年</w:t>
      </w:r>
      <w:r>
        <w:rPr>
          <w:rFonts w:ascii="宋体" w:hAnsi="宋体" w:cs="宋体" w:hint="eastAsia"/>
          <w:sz w:val="24"/>
        </w:rPr>
        <w:t>5</w:t>
      </w:r>
      <w:r w:rsidR="00481206" w:rsidRPr="00481206">
        <w:rPr>
          <w:rFonts w:ascii="宋体" w:hAnsi="宋体" w:cs="宋体" w:hint="eastAsia"/>
          <w:sz w:val="24"/>
        </w:rPr>
        <w:t>月23日（</w:t>
      </w:r>
      <w:r>
        <w:rPr>
          <w:rFonts w:ascii="宋体" w:hAnsi="宋体" w:cs="宋体" w:hint="eastAsia"/>
          <w:sz w:val="24"/>
        </w:rPr>
        <w:t>周二上午3</w:t>
      </w:r>
      <w:r w:rsidRPr="00481206">
        <w:rPr>
          <w:rFonts w:ascii="宋体" w:hAnsi="宋体" w:cs="宋体" w:hint="eastAsia"/>
          <w:sz w:val="24"/>
        </w:rPr>
        <w:t>、</w:t>
      </w:r>
      <w:r>
        <w:rPr>
          <w:rFonts w:ascii="宋体" w:hAnsi="宋体" w:cs="宋体" w:hint="eastAsia"/>
          <w:sz w:val="24"/>
        </w:rPr>
        <w:t>4</w:t>
      </w:r>
      <w:r w:rsidRPr="00481206">
        <w:rPr>
          <w:rFonts w:ascii="宋体" w:hAnsi="宋体" w:cs="宋体" w:hint="eastAsia"/>
          <w:sz w:val="24"/>
        </w:rPr>
        <w:t>节</w:t>
      </w:r>
      <w:r w:rsidR="00481206" w:rsidRPr="00481206">
        <w:rPr>
          <w:rFonts w:ascii="宋体" w:hAnsi="宋体" w:cs="宋体" w:hint="eastAsia"/>
          <w:sz w:val="24"/>
        </w:rPr>
        <w:t>，第8讲）；</w:t>
      </w:r>
      <w:bookmarkEnd w:id="488"/>
      <w:bookmarkEnd w:id="489"/>
    </w:p>
    <w:p w:rsidR="00481206" w:rsidRPr="00481206" w:rsidRDefault="002B58B2" w:rsidP="00481206">
      <w:pPr>
        <w:spacing w:line="360" w:lineRule="auto"/>
        <w:ind w:firstLineChars="200" w:firstLine="480"/>
        <w:outlineLvl w:val="1"/>
        <w:rPr>
          <w:rFonts w:ascii="宋体" w:hAnsi="宋体" w:cs="宋体"/>
          <w:sz w:val="24"/>
        </w:rPr>
      </w:pPr>
      <w:bookmarkStart w:id="490" w:name="_Toc444350259"/>
      <w:bookmarkStart w:id="491" w:name="_Toc474271734"/>
      <w:r>
        <w:rPr>
          <w:rFonts w:ascii="宋体" w:hAnsi="宋体" w:cs="宋体" w:hint="eastAsia"/>
          <w:sz w:val="24"/>
        </w:rPr>
        <w:t>2017</w:t>
      </w:r>
      <w:r w:rsidR="00481206" w:rsidRPr="00481206">
        <w:rPr>
          <w:rFonts w:ascii="宋体" w:hAnsi="宋体" w:cs="宋体" w:hint="eastAsia"/>
          <w:sz w:val="24"/>
        </w:rPr>
        <w:t>年</w:t>
      </w:r>
      <w:r>
        <w:rPr>
          <w:rFonts w:ascii="宋体" w:hAnsi="宋体" w:cs="宋体" w:hint="eastAsia"/>
          <w:sz w:val="24"/>
        </w:rPr>
        <w:t>5</w:t>
      </w:r>
      <w:r w:rsidR="00481206" w:rsidRPr="00481206">
        <w:rPr>
          <w:rFonts w:ascii="宋体" w:hAnsi="宋体" w:cs="宋体" w:hint="eastAsia"/>
          <w:sz w:val="24"/>
        </w:rPr>
        <w:t>月</w:t>
      </w:r>
      <w:r>
        <w:rPr>
          <w:rFonts w:ascii="宋体" w:hAnsi="宋体" w:cs="宋体" w:hint="eastAsia"/>
          <w:sz w:val="24"/>
        </w:rPr>
        <w:t>25</w:t>
      </w:r>
      <w:r w:rsidR="00481206" w:rsidRPr="00481206">
        <w:rPr>
          <w:rFonts w:ascii="宋体" w:hAnsi="宋体" w:cs="宋体" w:hint="eastAsia"/>
          <w:sz w:val="24"/>
        </w:rPr>
        <w:t>日（</w:t>
      </w:r>
      <w:r>
        <w:rPr>
          <w:rFonts w:ascii="宋体" w:hAnsi="宋体" w:cs="宋体" w:hint="eastAsia"/>
          <w:sz w:val="24"/>
        </w:rPr>
        <w:t>周四上午3</w:t>
      </w:r>
      <w:r w:rsidRPr="00481206">
        <w:rPr>
          <w:rFonts w:ascii="宋体" w:hAnsi="宋体" w:cs="宋体" w:hint="eastAsia"/>
          <w:sz w:val="24"/>
        </w:rPr>
        <w:t>、</w:t>
      </w:r>
      <w:r>
        <w:rPr>
          <w:rFonts w:ascii="宋体" w:hAnsi="宋体" w:cs="宋体" w:hint="eastAsia"/>
          <w:sz w:val="24"/>
        </w:rPr>
        <w:t>4</w:t>
      </w:r>
      <w:r w:rsidRPr="00481206">
        <w:rPr>
          <w:rFonts w:ascii="宋体" w:hAnsi="宋体" w:cs="宋体" w:hint="eastAsia"/>
          <w:sz w:val="24"/>
        </w:rPr>
        <w:t>节</w:t>
      </w:r>
      <w:r w:rsidR="00481206" w:rsidRPr="00481206">
        <w:rPr>
          <w:rFonts w:ascii="宋体" w:hAnsi="宋体" w:cs="宋体" w:hint="eastAsia"/>
          <w:sz w:val="24"/>
        </w:rPr>
        <w:t>，第9讲）；</w:t>
      </w:r>
      <w:bookmarkEnd w:id="490"/>
      <w:bookmarkEnd w:id="491"/>
    </w:p>
    <w:p w:rsidR="00481206" w:rsidRPr="00481206" w:rsidRDefault="00481206" w:rsidP="00481206">
      <w:pPr>
        <w:spacing w:line="360" w:lineRule="auto"/>
        <w:ind w:firstLineChars="200" w:firstLine="480"/>
        <w:outlineLvl w:val="1"/>
        <w:rPr>
          <w:rFonts w:ascii="宋体" w:hAnsi="宋体" w:cs="宋体"/>
          <w:sz w:val="24"/>
        </w:rPr>
      </w:pPr>
      <w:bookmarkStart w:id="492" w:name="_Toc444350260"/>
      <w:bookmarkStart w:id="493" w:name="_Toc474271735"/>
      <w:r w:rsidRPr="00481206">
        <w:rPr>
          <w:rFonts w:ascii="宋体" w:hAnsi="宋体" w:cs="宋体" w:hint="eastAsia"/>
          <w:sz w:val="24"/>
        </w:rPr>
        <w:t>2016年</w:t>
      </w:r>
      <w:r w:rsidR="002B58B2">
        <w:rPr>
          <w:rFonts w:ascii="宋体" w:hAnsi="宋体" w:cs="宋体" w:hint="eastAsia"/>
          <w:sz w:val="24"/>
        </w:rPr>
        <w:t>5</w:t>
      </w:r>
      <w:r w:rsidRPr="00481206">
        <w:rPr>
          <w:rFonts w:ascii="宋体" w:hAnsi="宋体" w:cs="宋体" w:hint="eastAsia"/>
          <w:sz w:val="24"/>
        </w:rPr>
        <w:t>月30日（</w:t>
      </w:r>
      <w:r w:rsidR="002B58B2">
        <w:rPr>
          <w:rFonts w:ascii="宋体" w:hAnsi="宋体" w:cs="宋体" w:hint="eastAsia"/>
          <w:sz w:val="24"/>
        </w:rPr>
        <w:t>周四上午3</w:t>
      </w:r>
      <w:r w:rsidR="002B58B2" w:rsidRPr="00481206">
        <w:rPr>
          <w:rFonts w:ascii="宋体" w:hAnsi="宋体" w:cs="宋体" w:hint="eastAsia"/>
          <w:sz w:val="24"/>
        </w:rPr>
        <w:t>、</w:t>
      </w:r>
      <w:r w:rsidR="002B58B2">
        <w:rPr>
          <w:rFonts w:ascii="宋体" w:hAnsi="宋体" w:cs="宋体" w:hint="eastAsia"/>
          <w:sz w:val="24"/>
        </w:rPr>
        <w:t>4</w:t>
      </w:r>
      <w:r w:rsidR="002B58B2" w:rsidRPr="00481206">
        <w:rPr>
          <w:rFonts w:ascii="宋体" w:hAnsi="宋体" w:cs="宋体" w:hint="eastAsia"/>
          <w:sz w:val="24"/>
        </w:rPr>
        <w:t>节</w:t>
      </w:r>
      <w:r w:rsidRPr="00481206">
        <w:rPr>
          <w:rFonts w:ascii="宋体" w:hAnsi="宋体" w:cs="宋体" w:hint="eastAsia"/>
          <w:sz w:val="24"/>
        </w:rPr>
        <w:t>，第10讲）。</w:t>
      </w:r>
      <w:bookmarkEnd w:id="492"/>
      <w:bookmarkEnd w:id="493"/>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bCs/>
          <w:sz w:val="24"/>
        </w:rPr>
        <w:t xml:space="preserve">    </w:t>
      </w:r>
      <w:bookmarkStart w:id="494" w:name="_Toc430423439"/>
      <w:bookmarkStart w:id="495" w:name="_Toc444350261"/>
      <w:bookmarkStart w:id="496" w:name="_Toc474271736"/>
      <w:r w:rsidRPr="00481206">
        <w:rPr>
          <w:rFonts w:ascii="宋体" w:hAnsi="宋体" w:cs="宋体" w:hint="eastAsia"/>
          <w:bCs/>
          <w:sz w:val="24"/>
        </w:rPr>
        <w:t>7.4.2单元教学目标</w:t>
      </w:r>
      <w:bookmarkEnd w:id="494"/>
      <w:bookmarkEnd w:id="495"/>
      <w:bookmarkEnd w:id="496"/>
      <w:r w:rsidRPr="00481206">
        <w:rPr>
          <w:rFonts w:ascii="宋体" w:hAnsi="宋体" w:cs="宋体" w:hint="eastAsia"/>
          <w:sz w:val="24"/>
        </w:rPr>
        <w:tab/>
      </w:r>
    </w:p>
    <w:p w:rsidR="00481206" w:rsidRPr="00481206" w:rsidRDefault="00481206" w:rsidP="00481206">
      <w:pPr>
        <w:spacing w:line="360" w:lineRule="auto"/>
        <w:ind w:firstLineChars="200" w:firstLine="480"/>
        <w:rPr>
          <w:rFonts w:ascii="宋体" w:hAnsi="宋体"/>
          <w:bCs/>
          <w:sz w:val="24"/>
        </w:rPr>
      </w:pPr>
      <w:r w:rsidRPr="00481206">
        <w:rPr>
          <w:rFonts w:ascii="宋体" w:hAnsi="宋体" w:cs="宋体" w:hint="eastAsia"/>
          <w:sz w:val="24"/>
        </w:rPr>
        <w:t>了解</w:t>
      </w:r>
      <w:r w:rsidRPr="00481206">
        <w:rPr>
          <w:rFonts w:ascii="宋体" w:hAnsi="宋体" w:hint="eastAsia"/>
          <w:bCs/>
          <w:sz w:val="24"/>
        </w:rPr>
        <w:t>远期价值、远期价格和期货价格的含义、远期价格和期货价格的关系；掌握无收益资产远期合约的定价、支付已知现金收益资产远期合约的定价、支付已知收益率资产远期合约的定价；理解期货价格和现货价格的关系、持有成本和金融期货的理论价格的关系、套利和金融期货的理论价格的关系、基差收敛和金融期货价格的决定的关系。</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 xml:space="preserve"> 掌握货币期货的定价理论，包括利率平价理论和远期汇率的定价，理解股指期货的定价和远期利率协议的定价。</w:t>
      </w:r>
      <w:r w:rsidRPr="00481206">
        <w:rPr>
          <w:rFonts w:ascii="宋体" w:hAnsi="宋体" w:cs="宋体" w:hint="eastAsia"/>
          <w:sz w:val="24"/>
        </w:rPr>
        <w:t xml:space="preserve"> </w:t>
      </w:r>
    </w:p>
    <w:p w:rsidR="00481206" w:rsidRPr="00481206" w:rsidRDefault="00481206" w:rsidP="00481206">
      <w:pPr>
        <w:spacing w:line="360" w:lineRule="auto"/>
        <w:outlineLvl w:val="1"/>
        <w:rPr>
          <w:rFonts w:ascii="宋体" w:hAnsi="宋体" w:cs="宋体"/>
          <w:bCs/>
          <w:sz w:val="24"/>
        </w:rPr>
      </w:pPr>
      <w:r w:rsidRPr="00481206">
        <w:rPr>
          <w:rFonts w:ascii="宋体" w:hAnsi="宋体" w:cs="宋体" w:hint="eastAsia"/>
          <w:bCs/>
          <w:sz w:val="24"/>
        </w:rPr>
        <w:lastRenderedPageBreak/>
        <w:t xml:space="preserve">    </w:t>
      </w:r>
      <w:bookmarkStart w:id="497" w:name="_Toc430423441"/>
      <w:bookmarkStart w:id="498" w:name="_Toc444350262"/>
      <w:bookmarkStart w:id="499" w:name="_Toc474271737"/>
      <w:r w:rsidRPr="00481206">
        <w:rPr>
          <w:rFonts w:ascii="宋体" w:hAnsi="宋体" w:cs="宋体" w:hint="eastAsia"/>
          <w:bCs/>
          <w:sz w:val="24"/>
        </w:rPr>
        <w:t>7.4.3单元教学内容</w:t>
      </w:r>
      <w:bookmarkEnd w:id="497"/>
      <w:bookmarkEnd w:id="498"/>
      <w:bookmarkEnd w:id="499"/>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500" w:name="_Toc444350263"/>
      <w:bookmarkStart w:id="501" w:name="_Toc474271738"/>
      <w:bookmarkStart w:id="502" w:name="_Toc430423456"/>
      <w:r w:rsidRPr="00481206">
        <w:rPr>
          <w:rFonts w:ascii="宋体" w:hAnsi="宋体" w:hint="eastAsia"/>
          <w:bCs/>
          <w:sz w:val="24"/>
        </w:rPr>
        <w:t>第三章 远期和期货的定价</w:t>
      </w:r>
      <w:bookmarkEnd w:id="500"/>
      <w:bookmarkEnd w:id="501"/>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第一节 远期和期货的定价</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一、远期价值、远期价格和期货价格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二、远期价格和期货价格的关系</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三、定价前的基本假定和基本符号</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四、无收益资产远期合约的定价</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五、支付已知现金收益资产远期合约的定价</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六、支付已知收益率资产远期合约的定价</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七、期货价格和现货价格的关系</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八、持有成本和金融期货的理论价格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九、套利和金融期货的理论价格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十、基差收敛和金融期货价格的决定</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第二节 货币期货的定价</w:t>
      </w:r>
    </w:p>
    <w:p w:rsidR="00481206" w:rsidRPr="00481206" w:rsidRDefault="00481206" w:rsidP="00481206">
      <w:pPr>
        <w:spacing w:line="360" w:lineRule="auto"/>
        <w:ind w:firstLineChars="250" w:firstLine="600"/>
        <w:outlineLvl w:val="0"/>
        <w:rPr>
          <w:rFonts w:ascii="宋体" w:hAnsi="宋体"/>
          <w:bCs/>
          <w:sz w:val="24"/>
        </w:rPr>
      </w:pPr>
      <w:bookmarkStart w:id="503" w:name="_Toc444350264"/>
      <w:bookmarkStart w:id="504" w:name="_Toc474271739"/>
      <w:r w:rsidRPr="00481206">
        <w:rPr>
          <w:rFonts w:ascii="宋体" w:hAnsi="宋体" w:hint="eastAsia"/>
          <w:bCs/>
          <w:sz w:val="24"/>
        </w:rPr>
        <w:t>一、利率平价理论</w:t>
      </w:r>
      <w:bookmarkEnd w:id="503"/>
      <w:bookmarkEnd w:id="504"/>
    </w:p>
    <w:p w:rsidR="00481206" w:rsidRPr="00481206" w:rsidRDefault="00481206" w:rsidP="00481206">
      <w:pPr>
        <w:spacing w:line="360" w:lineRule="auto"/>
        <w:ind w:firstLineChars="250" w:firstLine="600"/>
        <w:outlineLvl w:val="0"/>
        <w:rPr>
          <w:rFonts w:ascii="宋体" w:hAnsi="宋体"/>
          <w:bCs/>
          <w:sz w:val="24"/>
        </w:rPr>
      </w:pPr>
      <w:bookmarkStart w:id="505" w:name="_Toc444350265"/>
      <w:bookmarkStart w:id="506" w:name="_Toc474271740"/>
      <w:r w:rsidRPr="00481206">
        <w:rPr>
          <w:rFonts w:ascii="宋体" w:hAnsi="宋体" w:hint="eastAsia"/>
          <w:bCs/>
          <w:sz w:val="24"/>
        </w:rPr>
        <w:t>二、远期汇率的定价</w:t>
      </w:r>
      <w:bookmarkEnd w:id="505"/>
      <w:bookmarkEnd w:id="506"/>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第三节 股指期货的定价</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第四节 远期利率协议的定价</w:t>
      </w:r>
    </w:p>
    <w:p w:rsidR="00481206" w:rsidRPr="00481206" w:rsidRDefault="00481206" w:rsidP="00481206">
      <w:pPr>
        <w:spacing w:line="360" w:lineRule="auto"/>
        <w:outlineLvl w:val="1"/>
        <w:rPr>
          <w:rFonts w:ascii="宋体" w:hAnsi="宋体" w:cs="宋体"/>
          <w:sz w:val="24"/>
        </w:rPr>
      </w:pPr>
      <w:bookmarkStart w:id="507" w:name="_Toc444350266"/>
      <w:bookmarkStart w:id="508" w:name="_Toc474271741"/>
      <w:r w:rsidRPr="00481206">
        <w:rPr>
          <w:rFonts w:ascii="宋体" w:hAnsi="宋体" w:cs="宋体" w:hint="eastAsia"/>
          <w:sz w:val="24"/>
        </w:rPr>
        <w:t>【</w:t>
      </w:r>
      <w:r w:rsidRPr="00481206">
        <w:rPr>
          <w:rFonts w:ascii="宋体" w:hAnsi="宋体" w:cs="宋体" w:hint="eastAsia"/>
          <w:bCs/>
          <w:sz w:val="24"/>
        </w:rPr>
        <w:t>重点】</w:t>
      </w:r>
      <w:bookmarkEnd w:id="502"/>
      <w:bookmarkEnd w:id="507"/>
      <w:bookmarkEnd w:id="508"/>
    </w:p>
    <w:p w:rsidR="00481206" w:rsidRPr="00481206" w:rsidRDefault="00481206" w:rsidP="00481206">
      <w:pPr>
        <w:spacing w:line="360" w:lineRule="auto"/>
        <w:outlineLvl w:val="1"/>
        <w:rPr>
          <w:rFonts w:ascii="宋体" w:hAnsi="宋体" w:cs="宋体"/>
          <w:sz w:val="24"/>
        </w:rPr>
      </w:pPr>
      <w:bookmarkStart w:id="509" w:name="_Toc430423457"/>
      <w:bookmarkStart w:id="510" w:name="_Toc444350267"/>
      <w:bookmarkStart w:id="511" w:name="_Toc474271742"/>
      <w:r w:rsidRPr="00481206">
        <w:rPr>
          <w:rFonts w:ascii="宋体" w:hAnsi="宋体" w:cs="宋体" w:hint="eastAsia"/>
          <w:sz w:val="24"/>
        </w:rPr>
        <w:t></w:t>
      </w:r>
      <w:r w:rsidRPr="00481206">
        <w:rPr>
          <w:rFonts w:ascii="宋体" w:hAnsi="宋体" w:cs="宋体" w:hint="eastAsia"/>
          <w:sz w:val="24"/>
        </w:rPr>
        <w:tab/>
        <w:t>各种金融衍生产品的定价模型。</w:t>
      </w:r>
      <w:bookmarkEnd w:id="509"/>
      <w:bookmarkEnd w:id="510"/>
      <w:bookmarkEnd w:id="511"/>
    </w:p>
    <w:p w:rsidR="00481206" w:rsidRPr="00481206" w:rsidRDefault="00481206" w:rsidP="00481206">
      <w:pPr>
        <w:spacing w:line="360" w:lineRule="auto"/>
        <w:outlineLvl w:val="1"/>
        <w:rPr>
          <w:rFonts w:ascii="宋体" w:hAnsi="宋体" w:cs="宋体"/>
          <w:sz w:val="24"/>
        </w:rPr>
      </w:pPr>
      <w:bookmarkStart w:id="512" w:name="_Toc430423458"/>
      <w:bookmarkStart w:id="513" w:name="_Toc444350268"/>
      <w:bookmarkStart w:id="514" w:name="_Toc474271743"/>
      <w:r w:rsidRPr="00481206">
        <w:rPr>
          <w:rFonts w:ascii="宋体" w:hAnsi="宋体" w:cs="宋体" w:hint="eastAsia"/>
          <w:sz w:val="24"/>
        </w:rPr>
        <w:t>【</w:t>
      </w:r>
      <w:r w:rsidRPr="00481206">
        <w:rPr>
          <w:rFonts w:ascii="宋体" w:hAnsi="宋体" w:cs="宋体" w:hint="eastAsia"/>
          <w:bCs/>
          <w:sz w:val="24"/>
        </w:rPr>
        <w:t>难点】</w:t>
      </w:r>
      <w:bookmarkStart w:id="515" w:name="_Toc430423459"/>
      <w:bookmarkEnd w:id="512"/>
      <w:bookmarkEnd w:id="513"/>
      <w:bookmarkEnd w:id="514"/>
    </w:p>
    <w:p w:rsidR="00481206" w:rsidRPr="00481206" w:rsidRDefault="00481206" w:rsidP="00481206">
      <w:pPr>
        <w:spacing w:line="360" w:lineRule="auto"/>
        <w:ind w:firstLineChars="200" w:firstLine="480"/>
        <w:outlineLvl w:val="1"/>
        <w:rPr>
          <w:rFonts w:ascii="宋体" w:hAnsi="宋体" w:cs="宋体"/>
          <w:sz w:val="24"/>
        </w:rPr>
      </w:pPr>
      <w:bookmarkStart w:id="516" w:name="_Toc444350269"/>
      <w:bookmarkStart w:id="517" w:name="_Toc474271744"/>
      <w:r w:rsidRPr="00481206">
        <w:rPr>
          <w:rFonts w:ascii="宋体" w:hAnsi="宋体" w:hint="eastAsia"/>
          <w:bCs/>
          <w:sz w:val="24"/>
        </w:rPr>
        <w:t>无收益资产远期合约的定价模型、支付已知现金收益资产远期合约的定价模型、支付已知收益率资产远期合约的定价模型</w:t>
      </w:r>
      <w:r w:rsidRPr="00481206">
        <w:rPr>
          <w:rFonts w:ascii="宋体" w:hAnsi="宋体" w:cs="宋体" w:hint="eastAsia"/>
          <w:sz w:val="24"/>
        </w:rPr>
        <w:t>。</w:t>
      </w:r>
      <w:bookmarkEnd w:id="515"/>
      <w:bookmarkEnd w:id="516"/>
      <w:bookmarkEnd w:id="517"/>
    </w:p>
    <w:p w:rsidR="00481206" w:rsidRPr="00481206" w:rsidRDefault="00481206" w:rsidP="00481206">
      <w:pPr>
        <w:spacing w:line="360" w:lineRule="auto"/>
        <w:ind w:firstLineChars="200" w:firstLine="480"/>
        <w:outlineLvl w:val="1"/>
        <w:rPr>
          <w:rFonts w:ascii="宋体" w:hAnsi="宋体" w:cs="宋体"/>
          <w:bCs/>
          <w:sz w:val="24"/>
        </w:rPr>
      </w:pPr>
      <w:bookmarkStart w:id="518" w:name="_Toc430423460"/>
      <w:bookmarkStart w:id="519" w:name="_Toc444350270"/>
      <w:bookmarkStart w:id="520" w:name="_Toc474271745"/>
      <w:r w:rsidRPr="00481206">
        <w:rPr>
          <w:rFonts w:ascii="宋体" w:hAnsi="宋体" w:cs="宋体" w:hint="eastAsia"/>
          <w:bCs/>
          <w:sz w:val="24"/>
        </w:rPr>
        <w:t>7.4.4单元教学过程（共3讲）</w:t>
      </w:r>
      <w:bookmarkEnd w:id="518"/>
      <w:bookmarkEnd w:id="519"/>
      <w:bookmarkEnd w:id="520"/>
    </w:p>
    <w:p w:rsidR="00481206" w:rsidRPr="00481206" w:rsidRDefault="00481206" w:rsidP="00481206">
      <w:pPr>
        <w:numPr>
          <w:ilvl w:val="0"/>
          <w:numId w:val="4"/>
        </w:numPr>
        <w:tabs>
          <w:tab w:val="left" w:pos="420"/>
        </w:tabs>
        <w:spacing w:line="360" w:lineRule="auto"/>
        <w:ind w:left="0" w:firstLine="420"/>
        <w:outlineLvl w:val="1"/>
        <w:rPr>
          <w:rFonts w:ascii="宋体" w:hAnsi="宋体" w:cs="宋体"/>
          <w:bCs/>
          <w:sz w:val="24"/>
        </w:rPr>
      </w:pPr>
      <w:bookmarkStart w:id="521" w:name="_Toc430423461"/>
      <w:bookmarkStart w:id="522" w:name="_Toc444350271"/>
      <w:bookmarkStart w:id="523" w:name="_Toc474271746"/>
      <w:r w:rsidRPr="00481206">
        <w:rPr>
          <w:rFonts w:ascii="宋体" w:hAnsi="宋体" w:cs="宋体" w:hint="eastAsia"/>
          <w:bCs/>
          <w:sz w:val="24"/>
        </w:rPr>
        <w:t>第8讲，共90分钟</w:t>
      </w:r>
      <w:bookmarkEnd w:id="521"/>
      <w:bookmarkEnd w:id="522"/>
      <w:bookmarkEnd w:id="523"/>
    </w:p>
    <w:p w:rsidR="00481206" w:rsidRPr="00481206" w:rsidRDefault="00481206" w:rsidP="00481206">
      <w:pPr>
        <w:jc w:val="center"/>
        <w:rPr>
          <w:rFonts w:ascii="宋体" w:hAnsi="宋体"/>
          <w:bCs/>
          <w:sz w:val="24"/>
        </w:rPr>
      </w:pPr>
      <w:bookmarkStart w:id="524" w:name="_Toc430423603"/>
      <w:r w:rsidRPr="00481206">
        <w:rPr>
          <w:rFonts w:ascii="宋体" w:hAnsi="宋体" w:hint="eastAsia"/>
          <w:bCs/>
          <w:sz w:val="24"/>
        </w:rPr>
        <w:t>第三章 远期和期货的定价</w:t>
      </w:r>
    </w:p>
    <w:p w:rsidR="00481206" w:rsidRPr="00481206" w:rsidRDefault="00481206" w:rsidP="00481206">
      <w:pPr>
        <w:spacing w:line="360" w:lineRule="auto"/>
        <w:jc w:val="center"/>
        <w:rPr>
          <w:rFonts w:ascii="宋体" w:hAnsi="宋体"/>
          <w:bCs/>
          <w:sz w:val="24"/>
        </w:rPr>
      </w:pPr>
      <w:r w:rsidRPr="00481206">
        <w:rPr>
          <w:rFonts w:ascii="宋体" w:hAnsi="宋体" w:hint="eastAsia"/>
          <w:bCs/>
          <w:sz w:val="24"/>
        </w:rPr>
        <w:t>第一节 远期和期货的定价</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一、远期价值、远期价格和期货价格</w:t>
      </w:r>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（一）远期价值</w:t>
      </w:r>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所谓远期价值，就是指远期合约本身的价值。</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lastRenderedPageBreak/>
        <w:t>例如，一个交割价格为10元，交易量为100单位、距离到期日还有1年的远期合约。如果当前标的资产的市场价格为15元，市场无风险连续复利利率为10%，则对多头来讲，该远期合约的价值就为：</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10"/>
          <w:sz w:val="24"/>
        </w:rPr>
        <w:object w:dxaOrig="2720" w:dyaOrig="360">
          <v:shape id="_x0000_i1082" type="#_x0000_t75" style="width:135.75pt;height:18pt" o:ole="">
            <v:imagedata r:id="rId126" o:title=""/>
          </v:shape>
          <o:OLEObject Type="Embed" ProgID="Equation.3" ShapeID="_x0000_i1082" DrawAspect="Content" ObjectID="_1550061350" r:id="rId127"/>
        </w:object>
      </w:r>
      <w:r w:rsidRPr="00481206">
        <w:rPr>
          <w:rFonts w:ascii="宋体" w:hAnsi="宋体" w:hint="eastAsia"/>
          <w:bCs/>
          <w:sz w:val="24"/>
        </w:rPr>
        <w:t>（元），对空头来讲，该远期合约的价值为-595元。</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一般来讲，远期价值分远期合约签订时和签订后的两种情形。在签订远期合约时，如果双方的信息是对称的，而且合约双方对未来的预期相同，对于一份公平的合约，多空双方所选择的交割价格应使远期合约的价值在签署合约时为零。在远期合约签订以后，由于交割价格不再变化，多空双方的远期价值将随着标的资产价格的变化而变化。显然如果标的资产的价格高于交割价格的现值，则多方的远期价值就是正的而空方的远期价值就是负的，反之亦然。</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（二）远期价格</w:t>
      </w:r>
    </w:p>
    <w:p w:rsidR="00481206" w:rsidRPr="00481206" w:rsidRDefault="00481206" w:rsidP="00481206">
      <w:pPr>
        <w:spacing w:line="360" w:lineRule="auto"/>
        <w:ind w:firstLineChars="199" w:firstLine="478"/>
        <w:rPr>
          <w:rFonts w:ascii="宋体" w:hAnsi="宋体"/>
          <w:bCs/>
          <w:sz w:val="24"/>
        </w:rPr>
      </w:pPr>
      <w:r w:rsidRPr="00481206">
        <w:rPr>
          <w:rFonts w:ascii="宋体" w:hAnsi="宋体" w:hint="eastAsia"/>
          <w:bCs/>
          <w:sz w:val="24"/>
        </w:rPr>
        <w:t>所谓远期价格，是指使一个远期合约价值为零的交割价格。比如，从上面的例子可以看出，定义远期价格为F，则上例中的远期价格就是使得下式为零的价格，即：</w:t>
      </w:r>
    </w:p>
    <w:p w:rsidR="00481206" w:rsidRPr="00481206" w:rsidRDefault="00481206" w:rsidP="00481206">
      <w:pPr>
        <w:spacing w:line="360" w:lineRule="auto"/>
        <w:ind w:firstLineChars="199" w:firstLine="478"/>
        <w:rPr>
          <w:rFonts w:ascii="宋体" w:hAnsi="宋体"/>
          <w:bCs/>
          <w:sz w:val="24"/>
        </w:rPr>
      </w:pPr>
      <w:r w:rsidRPr="00481206">
        <w:rPr>
          <w:rFonts w:ascii="宋体" w:hAnsi="宋体"/>
          <w:bCs/>
          <w:position w:val="-10"/>
          <w:sz w:val="24"/>
        </w:rPr>
        <w:object w:dxaOrig="2460" w:dyaOrig="360">
          <v:shape id="_x0000_i1083" type="#_x0000_t75" style="width:123pt;height:18pt" o:ole="">
            <v:imagedata r:id="rId128" o:title=""/>
          </v:shape>
          <o:OLEObject Type="Embed" ProgID="Equation.3" ShapeID="_x0000_i1083" DrawAspect="Content" ObjectID="_1550061351" r:id="rId129"/>
        </w:object>
      </w:r>
    </w:p>
    <w:p w:rsidR="00481206" w:rsidRPr="00481206" w:rsidRDefault="00481206" w:rsidP="00481206">
      <w:pPr>
        <w:spacing w:line="360" w:lineRule="auto"/>
        <w:ind w:firstLineChars="199" w:firstLine="478"/>
        <w:rPr>
          <w:rFonts w:ascii="宋体" w:hAnsi="宋体"/>
          <w:bCs/>
          <w:sz w:val="24"/>
        </w:rPr>
      </w:pPr>
      <w:r w:rsidRPr="00481206">
        <w:rPr>
          <w:rFonts w:ascii="宋体" w:hAnsi="宋体" w:hint="eastAsia"/>
          <w:bCs/>
          <w:sz w:val="24"/>
        </w:rPr>
        <w:t>得出，F=16.58元，也就是说当交割价格为16.58元时，该远期合约的价值为零。</w:t>
      </w:r>
    </w:p>
    <w:p w:rsidR="00481206" w:rsidRPr="00481206" w:rsidRDefault="00481206" w:rsidP="00481206">
      <w:pPr>
        <w:spacing w:line="360" w:lineRule="auto"/>
        <w:ind w:firstLineChars="199" w:firstLine="478"/>
        <w:rPr>
          <w:rFonts w:ascii="宋体" w:hAnsi="宋体"/>
          <w:bCs/>
          <w:sz w:val="24"/>
        </w:rPr>
      </w:pPr>
      <w:r w:rsidRPr="00481206">
        <w:rPr>
          <w:rFonts w:ascii="宋体" w:hAnsi="宋体" w:hint="eastAsia"/>
          <w:bCs/>
          <w:sz w:val="24"/>
        </w:rPr>
        <w:t>远期价格是理论上的交割价格。关于远期价格的讨论也分远期合约签订时和签订后的两种情形。在一份远期合约签订时，如果实际交割价格不等于这个理论上的远期价格，该远期合约价值对于多空双方来说都不为零，也就是说，签订的当天即有一方盈利而另一方亏损，是一份不公平的合约，实际上隐含了套利空间，一份公平合理的远期合约在签订的当天应使交割价格等于远期价格。</w:t>
      </w:r>
    </w:p>
    <w:p w:rsidR="00481206" w:rsidRPr="00481206" w:rsidRDefault="00481206" w:rsidP="00481206">
      <w:pPr>
        <w:spacing w:line="360" w:lineRule="auto"/>
        <w:ind w:firstLineChars="199" w:firstLine="478"/>
        <w:rPr>
          <w:rFonts w:ascii="宋体" w:hAnsi="宋体"/>
          <w:bCs/>
          <w:sz w:val="24"/>
        </w:rPr>
      </w:pPr>
      <w:r w:rsidRPr="00481206">
        <w:rPr>
          <w:rFonts w:ascii="宋体" w:hAnsi="宋体" w:hint="eastAsia"/>
          <w:bCs/>
          <w:sz w:val="24"/>
        </w:rPr>
        <w:t>在远期合约签订以后，交割价格已经确定，但现货价格开始波动，远期合约的价值就不一定为零，远期价格（远期价值为零的价格）也就不一定等于交割价格。若交割价格低于远期价格，套利者就可以通过卖空标的资产现货，同时买入远期来获得无风险利润，从而使现货价格下降，交割价格上升，直至套利机会消失；但若交割价格高于远期价格，套利者就可以通过买入标的资产现货，同时卖空远期等待交割来获得无风险利润，从而促使现货价格上升，交割价格下降，直至套利机会消失。</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二、远期价格和期货价格的关系</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一般来讲，远期价格和期货价格的关系取决于标的资产价格与利率的相关性。</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当标的资产价格与利率呈正相关时，期货价格高于远期价格，这主要体现在期货合</w:t>
      </w:r>
      <w:r w:rsidRPr="00481206">
        <w:rPr>
          <w:rFonts w:ascii="宋体" w:hAnsi="宋体" w:hint="eastAsia"/>
          <w:bCs/>
          <w:sz w:val="24"/>
        </w:rPr>
        <w:lastRenderedPageBreak/>
        <w:t>约的吸引力高于远期合约，由此造成期货合约的需求量上升，因此其价格高于远期价格。</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这主要因为：当标的资产的价格上升时，期货价格也会随之上升，期货合约的多头将因每日结算制而立即获利，并可按照高于平均利率的水平将所获得的利润进行再投资。而当标的资产的价格下跌时，期货合约的多头将因每日结算制度而立即亏损，而他可按照低于平均利率的利率从市场上融资以补充保证金。相比之下，远期合约的多头一般不会因为利率的变动而受到上述影响，因此在此情况下，期货多头比远期多头更具吸引力，期货价格自然就会大于远期价格。</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相反，当标的资产价格与利率呈负相关时，远期价格就会高于期货价格。</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此外，远期价格和期货价格的差异幅度还取决于合约有效期的长短。当有效期只有几个月时，两者的差异一般很小。同时，税收、交易费用、保证金的处理方式、违约风险、流动性等因素或差异都会导致远期价格和期货价格的差异。</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三、定价前的基本假定和基本符号</w:t>
      </w:r>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（一）基本假定</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1.没有交易费用和税收；</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2.市场参与者能以相同的无风险利率借入和贷出资金；（所谓无风险利率，就是指将资金投资于一项没有任何风险的投资对象而能得到的利息率，比如国债投资）</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3.远期合约没有违约风险；</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4.允许出现卖空现货行为；</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5.当套利机会出现时，市场参与者将参与套利活动，从而使套利机会消失，计算出的理论价格就是在没有套利机会下的均衡价格；</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6.期货合约的保证金账户支付同样的无风险利率。这意味着任何人均可不花成本地取得远期和期货的多头和空头地位。</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（二）基本符号</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w:t>
      </w:r>
      <w:r w:rsidRPr="00481206">
        <w:rPr>
          <w:rFonts w:ascii="宋体" w:hAnsi="宋体"/>
          <w:bCs/>
          <w:position w:val="-4"/>
          <w:sz w:val="24"/>
        </w:rPr>
        <w:object w:dxaOrig="220" w:dyaOrig="260">
          <v:shape id="_x0000_i1084" type="#_x0000_t75" style="width:11.25pt;height:12.75pt" o:ole="">
            <v:imagedata r:id="rId130" o:title=""/>
          </v:shape>
          <o:OLEObject Type="Embed" ProgID="Equation.3" ShapeID="_x0000_i1084" DrawAspect="Content" ObjectID="_1550061352" r:id="rId131"/>
        </w:object>
      </w:r>
      <w:r w:rsidRPr="00481206">
        <w:rPr>
          <w:rFonts w:ascii="宋体" w:hAnsi="宋体" w:hint="eastAsia"/>
          <w:bCs/>
          <w:sz w:val="24"/>
        </w:rPr>
        <w:t>：远期和期货合约的到期时间，单位为年；</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6"/>
          <w:sz w:val="24"/>
        </w:rPr>
        <w:object w:dxaOrig="139" w:dyaOrig="240">
          <v:shape id="_x0000_i1085" type="#_x0000_t75" style="width:6.75pt;height:12pt" o:ole="">
            <v:imagedata r:id="rId132" o:title=""/>
          </v:shape>
          <o:OLEObject Type="Embed" ProgID="Equation.3" ShapeID="_x0000_i1085" DrawAspect="Content" ObjectID="_1550061353" r:id="rId133"/>
        </w:object>
      </w:r>
      <w:r w:rsidRPr="00481206">
        <w:rPr>
          <w:rFonts w:ascii="宋体" w:hAnsi="宋体" w:hint="eastAsia"/>
          <w:bCs/>
          <w:sz w:val="24"/>
        </w:rPr>
        <w:t>：现在的时间，单位为年。变量</w:t>
      </w:r>
      <w:r w:rsidRPr="00481206">
        <w:rPr>
          <w:rFonts w:ascii="宋体" w:hAnsi="宋体"/>
          <w:bCs/>
          <w:position w:val="-4"/>
          <w:sz w:val="24"/>
        </w:rPr>
        <w:object w:dxaOrig="220" w:dyaOrig="260">
          <v:shape id="_x0000_i1086" type="#_x0000_t75" style="width:11.25pt;height:12.75pt" o:ole="">
            <v:imagedata r:id="rId134" o:title=""/>
          </v:shape>
          <o:OLEObject Type="Embed" ProgID="Equation.3" ShapeID="_x0000_i1086" DrawAspect="Content" ObjectID="_1550061354" r:id="rId135"/>
        </w:object>
      </w:r>
      <w:r w:rsidRPr="00481206">
        <w:rPr>
          <w:rFonts w:ascii="宋体" w:hAnsi="宋体" w:hint="eastAsia"/>
          <w:bCs/>
          <w:sz w:val="24"/>
        </w:rPr>
        <w:t>和</w:t>
      </w:r>
      <w:r w:rsidRPr="00481206">
        <w:rPr>
          <w:rFonts w:ascii="宋体" w:hAnsi="宋体"/>
          <w:bCs/>
          <w:position w:val="-6"/>
          <w:sz w:val="24"/>
        </w:rPr>
        <w:object w:dxaOrig="139" w:dyaOrig="240">
          <v:shape id="_x0000_i1087" type="#_x0000_t75" style="width:6.75pt;height:12pt" o:ole="">
            <v:imagedata r:id="rId136" o:title=""/>
          </v:shape>
          <o:OLEObject Type="Embed" ProgID="Equation.3" ShapeID="_x0000_i1087" DrawAspect="Content" ObjectID="_1550061355" r:id="rId137"/>
        </w:object>
      </w:r>
      <w:r w:rsidRPr="00481206">
        <w:rPr>
          <w:rFonts w:ascii="宋体" w:hAnsi="宋体" w:hint="eastAsia"/>
          <w:bCs/>
          <w:sz w:val="24"/>
        </w:rPr>
        <w:t>是从合约生效之前的某个日期开始计算的，</w:t>
      </w:r>
      <w:r w:rsidRPr="00481206">
        <w:rPr>
          <w:rFonts w:ascii="宋体" w:hAnsi="宋体"/>
          <w:bCs/>
          <w:position w:val="-6"/>
          <w:sz w:val="24"/>
        </w:rPr>
        <w:object w:dxaOrig="520" w:dyaOrig="279">
          <v:shape id="_x0000_i1088" type="#_x0000_t75" style="width:26.25pt;height:14.25pt" o:ole="">
            <v:imagedata r:id="rId138" o:title=""/>
          </v:shape>
          <o:OLEObject Type="Embed" ProgID="Equation.3" ShapeID="_x0000_i1088" DrawAspect="Content" ObjectID="_1550061356" r:id="rId139"/>
        </w:object>
      </w:r>
      <w:r w:rsidRPr="00481206">
        <w:rPr>
          <w:rFonts w:ascii="宋体" w:hAnsi="宋体" w:hint="eastAsia"/>
          <w:bCs/>
          <w:sz w:val="24"/>
        </w:rPr>
        <w:t>代表远期和期货合约中以年为单位表示的剩下的时间；</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6"/>
          <w:sz w:val="24"/>
        </w:rPr>
        <w:object w:dxaOrig="220" w:dyaOrig="279">
          <v:shape id="_x0000_i1089" type="#_x0000_t75" style="width:11.25pt;height:14.25pt" o:ole="">
            <v:imagedata r:id="rId140" o:title=""/>
          </v:shape>
          <o:OLEObject Type="Embed" ProgID="Equation.3" ShapeID="_x0000_i1089" DrawAspect="Content" ObjectID="_1550061357" r:id="rId141"/>
        </w:object>
      </w:r>
      <w:r w:rsidRPr="00481206">
        <w:rPr>
          <w:rFonts w:ascii="宋体" w:hAnsi="宋体" w:hint="eastAsia"/>
          <w:bCs/>
          <w:sz w:val="24"/>
        </w:rPr>
        <w:t>：标的资产在时间</w:t>
      </w:r>
      <w:r w:rsidRPr="00481206">
        <w:rPr>
          <w:rFonts w:ascii="宋体" w:hAnsi="宋体"/>
          <w:bCs/>
          <w:position w:val="-6"/>
          <w:sz w:val="24"/>
        </w:rPr>
        <w:object w:dxaOrig="139" w:dyaOrig="240">
          <v:shape id="_x0000_i1090" type="#_x0000_t75" style="width:6.75pt;height:12pt" o:ole="">
            <v:imagedata r:id="rId132" o:title=""/>
          </v:shape>
          <o:OLEObject Type="Embed" ProgID="Equation.3" ShapeID="_x0000_i1090" DrawAspect="Content" ObjectID="_1550061358" r:id="rId142"/>
        </w:object>
      </w:r>
      <w:r w:rsidRPr="00481206">
        <w:rPr>
          <w:rFonts w:ascii="宋体" w:hAnsi="宋体" w:hint="eastAsia"/>
          <w:bCs/>
          <w:sz w:val="24"/>
        </w:rPr>
        <w:t>时的价格；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300" w:dyaOrig="340">
          <v:shape id="_x0000_i1091" type="#_x0000_t75" style="width:15pt;height:17.25pt" o:ole="">
            <v:imagedata r:id="rId143" o:title=""/>
          </v:shape>
          <o:OLEObject Type="Embed" ProgID="Equation.3" ShapeID="_x0000_i1091" DrawAspect="Content" ObjectID="_1550061359" r:id="rId144"/>
        </w:object>
      </w:r>
      <w:r w:rsidRPr="00481206">
        <w:rPr>
          <w:rFonts w:ascii="宋体" w:hAnsi="宋体" w:hint="eastAsia"/>
          <w:bCs/>
          <w:sz w:val="24"/>
        </w:rPr>
        <w:t>：标的资产在时间T时的价格（在t时刻这个值是个未知变量）；</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4"/>
          <w:sz w:val="24"/>
        </w:rPr>
        <w:object w:dxaOrig="260" w:dyaOrig="260">
          <v:shape id="_x0000_i1092" type="#_x0000_t75" style="width:12.75pt;height:12.75pt" o:ole="">
            <v:imagedata r:id="rId145" o:title=""/>
          </v:shape>
          <o:OLEObject Type="Embed" ProgID="Equation.3" ShapeID="_x0000_i1092" DrawAspect="Content" ObjectID="_1550061360" r:id="rId146"/>
        </w:object>
      </w:r>
      <w:r w:rsidRPr="00481206">
        <w:rPr>
          <w:rFonts w:ascii="宋体" w:hAnsi="宋体" w:hint="eastAsia"/>
          <w:bCs/>
          <w:sz w:val="24"/>
        </w:rPr>
        <w:t>：远期合约中的交割价格；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240" w:dyaOrig="320">
          <v:shape id="_x0000_i1093" type="#_x0000_t75" style="width:12pt;height:15.75pt" o:ole="">
            <v:imagedata r:id="rId147" o:title=""/>
          </v:shape>
          <o:OLEObject Type="Embed" ProgID="Equation.3" ShapeID="_x0000_i1093" DrawAspect="Content" ObjectID="_1550061361" r:id="rId148"/>
        </w:object>
      </w:r>
      <w:r w:rsidRPr="00481206">
        <w:rPr>
          <w:rFonts w:ascii="宋体" w:hAnsi="宋体" w:hint="eastAsia"/>
          <w:bCs/>
          <w:sz w:val="24"/>
        </w:rPr>
        <w:t>：远期合约多头在</w:t>
      </w:r>
      <w:r w:rsidRPr="00481206">
        <w:rPr>
          <w:rFonts w:ascii="宋体" w:hAnsi="宋体"/>
          <w:bCs/>
          <w:position w:val="-6"/>
          <w:sz w:val="24"/>
        </w:rPr>
        <w:object w:dxaOrig="139" w:dyaOrig="240">
          <v:shape id="_x0000_i1094" type="#_x0000_t75" style="width:6.75pt;height:12pt" o:ole="">
            <v:imagedata r:id="rId149" o:title=""/>
          </v:shape>
          <o:OLEObject Type="Embed" ProgID="Equation.3" ShapeID="_x0000_i1094" DrawAspect="Content" ObjectID="_1550061362" r:id="rId150"/>
        </w:object>
      </w:r>
      <w:r w:rsidRPr="00481206">
        <w:rPr>
          <w:rFonts w:ascii="宋体" w:hAnsi="宋体" w:hint="eastAsia"/>
          <w:bCs/>
          <w:sz w:val="24"/>
        </w:rPr>
        <w:t>时刻的价值；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4"/>
          <w:sz w:val="24"/>
        </w:rPr>
        <w:object w:dxaOrig="260" w:dyaOrig="260">
          <v:shape id="_x0000_i1095" type="#_x0000_t75" style="width:12.75pt;height:12.75pt" o:ole="">
            <v:imagedata r:id="rId151" o:title=""/>
          </v:shape>
          <o:OLEObject Type="Embed" ProgID="Equation.3" ShapeID="_x0000_i1095" DrawAspect="Content" ObjectID="_1550061363" r:id="rId152"/>
        </w:object>
      </w:r>
      <w:r w:rsidRPr="00481206">
        <w:rPr>
          <w:rFonts w:ascii="宋体" w:hAnsi="宋体" w:hint="eastAsia"/>
          <w:bCs/>
          <w:sz w:val="24"/>
        </w:rPr>
        <w:t>：</w:t>
      </w:r>
      <w:r w:rsidRPr="00481206">
        <w:rPr>
          <w:rFonts w:ascii="宋体" w:hAnsi="宋体"/>
          <w:bCs/>
          <w:position w:val="-6"/>
          <w:sz w:val="24"/>
        </w:rPr>
        <w:object w:dxaOrig="139" w:dyaOrig="240">
          <v:shape id="_x0000_i1096" type="#_x0000_t75" style="width:6.75pt;height:12pt" o:ole="">
            <v:imagedata r:id="rId153" o:title=""/>
          </v:shape>
          <o:OLEObject Type="Embed" ProgID="Equation.3" ShapeID="_x0000_i1096" DrawAspect="Content" ObjectID="_1550061364" r:id="rId154"/>
        </w:object>
      </w:r>
      <w:r w:rsidRPr="00481206">
        <w:rPr>
          <w:rFonts w:ascii="宋体" w:hAnsi="宋体" w:hint="eastAsia"/>
          <w:bCs/>
          <w:sz w:val="24"/>
        </w:rPr>
        <w:t>时刻的远期合约和期货合约中标的资产的远期理论价格和期货理论价格；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4"/>
          <w:sz w:val="24"/>
        </w:rPr>
        <w:object w:dxaOrig="180" w:dyaOrig="200">
          <v:shape id="_x0000_i1097" type="#_x0000_t75" style="width:9pt;height:9.75pt" o:ole="">
            <v:imagedata r:id="rId155" o:title=""/>
          </v:shape>
          <o:OLEObject Type="Embed" ProgID="Equation.3" ShapeID="_x0000_i1097" DrawAspect="Content" ObjectID="_1550061365" r:id="rId156"/>
        </w:object>
      </w:r>
      <w:r w:rsidRPr="00481206">
        <w:rPr>
          <w:rFonts w:ascii="宋体" w:hAnsi="宋体" w:hint="eastAsia"/>
          <w:bCs/>
          <w:sz w:val="24"/>
        </w:rPr>
        <w:t>：T时刻到期的以连续复利计算的</w:t>
      </w:r>
      <w:r w:rsidRPr="00481206">
        <w:rPr>
          <w:rFonts w:ascii="宋体" w:hAnsi="宋体"/>
          <w:bCs/>
          <w:position w:val="-6"/>
          <w:sz w:val="24"/>
        </w:rPr>
        <w:object w:dxaOrig="139" w:dyaOrig="240">
          <v:shape id="_x0000_i1098" type="#_x0000_t75" style="width:6.75pt;height:12pt" o:ole="">
            <v:imagedata r:id="rId132" o:title=""/>
          </v:shape>
          <o:OLEObject Type="Embed" ProgID="Equation.3" ShapeID="_x0000_i1098" DrawAspect="Content" ObjectID="_1550061366" r:id="rId157"/>
        </w:object>
      </w:r>
      <w:r w:rsidRPr="00481206">
        <w:rPr>
          <w:rFonts w:ascii="宋体" w:hAnsi="宋体" w:hint="eastAsia"/>
          <w:bCs/>
          <w:sz w:val="24"/>
        </w:rPr>
        <w:t>时刻的无风险利率（年利率），在本次定价的讨论中，如果无特殊说明，利率均为连续复利；</w:t>
      </w:r>
    </w:p>
    <w:p w:rsidR="00481206" w:rsidRPr="00481206" w:rsidRDefault="00481206" w:rsidP="00481206">
      <w:pPr>
        <w:spacing w:line="360" w:lineRule="auto"/>
        <w:rPr>
          <w:rFonts w:ascii="宋体" w:hAnsi="宋体"/>
          <w:bCs/>
          <w:sz w:val="24"/>
        </w:rPr>
      </w:pPr>
      <w:r w:rsidRPr="00481206">
        <w:rPr>
          <w:rFonts w:ascii="宋体" w:hAnsi="宋体" w:hint="eastAsia"/>
          <w:bCs/>
          <w:sz w:val="24"/>
        </w:rPr>
        <w:t>四、无收益资产远期合约的定价</w:t>
      </w:r>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（一）无收益资产</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所谓的“无收益资产”，并不是投资者投资于这些资产没有任何实际的收益，而是在投资期间，这些资产本身并不提供任何现金收益。</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比如：有些不支付红利的股票，投资者在持有期间虽然没有取得任何红利收益，但是如果这些股票价格上涨，则投资者可以通过低价买进、高价卖出而获得资本收益。又如，有些贴现发行的债券，投资者以低于面值的价格买进，而到期时按面值得到偿还。因此，在持有债券期间，投资者虽然也没有利息收入，但他们实际上已取得了买入价和卖出价之间的价差收益。</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（二）无套利定价法</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本节所用的定价方法为“无套利定价法”。该方法的基本思路为：构建两种投资组合，让其终值相等，则其现值一定相等；否则的话就可以进行套利，即卖出现值较高的投资组合，买入现值较低的投资组合，并持有到期末，套利者就可以获得无风险收益。众多套利者这么做的结果就是较高现值的投资组合价格下降，而较低现值的投资组合价格上升，直到套利机会消失，此时两种组合的现值相等。这样就可以根据两种组合现值相等的关系求出远期价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（三）无收益资产远期合约的定价</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构造两种组合：</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组合A：一份远期合约多头（该远期合约规定在到期日可按交割价格K购买一单位标的资产）加上一笔数额为</w:t>
      </w:r>
      <w:r w:rsidRPr="00481206">
        <w:rPr>
          <w:rFonts w:ascii="宋体" w:hAnsi="宋体"/>
          <w:bCs/>
          <w:position w:val="-6"/>
          <w:sz w:val="24"/>
        </w:rPr>
        <w:object w:dxaOrig="859" w:dyaOrig="320">
          <v:shape id="_x0000_i1099" type="#_x0000_t75" style="width:42.75pt;height:15.75pt" o:ole="">
            <v:imagedata r:id="rId158" o:title=""/>
          </v:shape>
          <o:OLEObject Type="Embed" ProgID="Equation.3" ShapeID="_x0000_i1099" DrawAspect="Content" ObjectID="_1550061367" r:id="rId159"/>
        </w:object>
      </w:r>
      <w:r w:rsidRPr="00481206">
        <w:rPr>
          <w:rFonts w:ascii="宋体" w:hAnsi="宋体" w:hint="eastAsia"/>
          <w:bCs/>
          <w:sz w:val="24"/>
        </w:rPr>
        <w:t>的现金；</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组合B：一单位的标的资产；</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对于组合A，</w:t>
      </w:r>
      <w:r w:rsidRPr="00481206">
        <w:rPr>
          <w:rFonts w:ascii="宋体" w:hAnsi="宋体"/>
          <w:bCs/>
          <w:position w:val="-6"/>
          <w:sz w:val="24"/>
        </w:rPr>
        <w:object w:dxaOrig="859" w:dyaOrig="320">
          <v:shape id="_x0000_i1100" type="#_x0000_t75" style="width:42.75pt;height:15.75pt" o:ole="">
            <v:imagedata r:id="rId160" o:title=""/>
          </v:shape>
          <o:OLEObject Type="Embed" ProgID="Equation.3" ShapeID="_x0000_i1100" DrawAspect="Content" ObjectID="_1550061368" r:id="rId161"/>
        </w:object>
      </w:r>
      <w:r w:rsidRPr="00481206">
        <w:rPr>
          <w:rFonts w:ascii="宋体" w:hAnsi="宋体" w:hint="eastAsia"/>
          <w:bCs/>
          <w:sz w:val="24"/>
        </w:rPr>
        <w:t>的现金以无风险利率投资，投资期限为（T-t）。到T时刻，其金额将达到K，因为</w:t>
      </w:r>
      <w:r w:rsidRPr="00481206">
        <w:rPr>
          <w:rFonts w:ascii="宋体" w:hAnsi="宋体"/>
          <w:bCs/>
          <w:position w:val="-6"/>
          <w:sz w:val="24"/>
        </w:rPr>
        <w:object w:dxaOrig="1900" w:dyaOrig="320">
          <v:shape id="_x0000_i1101" type="#_x0000_t75" style="width:95.25pt;height:15.75pt" o:ole="">
            <v:imagedata r:id="rId162" o:title=""/>
          </v:shape>
          <o:OLEObject Type="Embed" ProgID="Equation.3" ShapeID="_x0000_i1101" DrawAspect="Content" ObjectID="_1550061369" r:id="rId163"/>
        </w:object>
      </w:r>
      <w:r w:rsidRPr="00481206">
        <w:rPr>
          <w:rFonts w:ascii="宋体" w:hAnsi="宋体" w:hint="eastAsia"/>
          <w:bCs/>
          <w:sz w:val="24"/>
        </w:rPr>
        <w:t>。</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在远期合约到期时，这笔现金刚好可以用来交割，换来一单位的标的资产。这样，</w:t>
      </w:r>
      <w:r w:rsidRPr="00481206">
        <w:rPr>
          <w:rFonts w:ascii="宋体" w:hAnsi="宋体" w:hint="eastAsia"/>
          <w:bCs/>
          <w:sz w:val="24"/>
        </w:rPr>
        <w:lastRenderedPageBreak/>
        <w:t>在T时刻，两种组合都等于单一标的资产。由此可以断定，这两种组合在t时刻的价值相等，因此：</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1700" w:dyaOrig="360">
          <v:shape id="_x0000_i1102" type="#_x0000_t75" style="width:84.75pt;height:18pt" o:ole="">
            <v:imagedata r:id="rId164" o:title=""/>
          </v:shape>
          <o:OLEObject Type="Embed" ProgID="Equation.3" ShapeID="_x0000_i1102" DrawAspect="Content" ObjectID="_1550061370" r:id="rId165"/>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1660" w:dyaOrig="360">
          <v:shape id="_x0000_i1103" type="#_x0000_t75" style="width:83.25pt;height:18pt" o:ole="">
            <v:imagedata r:id="rId166" o:title=""/>
          </v:shape>
          <o:OLEObject Type="Embed" ProgID="Equation.3" ShapeID="_x0000_i1103" DrawAspect="Content" ObjectID="_1550061371" r:id="rId167"/>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上式表明：无收益资产远期合约多头的价值等于标的资产现货价格与交割价格现值的差额。</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由于远期价格（F）就是使合约价值（</w:t>
      </w:r>
      <w:r w:rsidRPr="00481206">
        <w:rPr>
          <w:rFonts w:ascii="宋体" w:hAnsi="宋体"/>
          <w:bCs/>
          <w:position w:val="-10"/>
          <w:sz w:val="24"/>
        </w:rPr>
        <w:object w:dxaOrig="240" w:dyaOrig="320">
          <v:shape id="_x0000_i1104" type="#_x0000_t75" style="width:12pt;height:15.75pt" o:ole="">
            <v:imagedata r:id="rId147" o:title=""/>
          </v:shape>
          <o:OLEObject Type="Embed" ProgID="Equation.3" ShapeID="_x0000_i1104" DrawAspect="Content" ObjectID="_1550061372" r:id="rId168"/>
        </w:object>
      </w:r>
      <w:r w:rsidRPr="00481206">
        <w:rPr>
          <w:rFonts w:ascii="宋体" w:hAnsi="宋体" w:hint="eastAsia"/>
          <w:bCs/>
          <w:sz w:val="24"/>
        </w:rPr>
        <w:t>）为零的交割价格（K），即当</w:t>
      </w:r>
      <w:r w:rsidRPr="00481206">
        <w:rPr>
          <w:rFonts w:ascii="宋体" w:hAnsi="宋体"/>
          <w:bCs/>
          <w:position w:val="-10"/>
          <w:sz w:val="24"/>
        </w:rPr>
        <w:object w:dxaOrig="620" w:dyaOrig="320">
          <v:shape id="_x0000_i1105" type="#_x0000_t75" style="width:30.75pt;height:15.75pt" o:ole="">
            <v:imagedata r:id="rId169" o:title=""/>
          </v:shape>
          <o:OLEObject Type="Embed" ProgID="Equation.3" ShapeID="_x0000_i1105" DrawAspect="Content" ObjectID="_1550061373" r:id="rId170"/>
        </w:object>
      </w:r>
      <w:r w:rsidRPr="00481206">
        <w:rPr>
          <w:rFonts w:ascii="宋体" w:hAnsi="宋体" w:hint="eastAsia"/>
          <w:bCs/>
          <w:sz w:val="24"/>
        </w:rPr>
        <w:t>时，K=F，这时：</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6"/>
          <w:sz w:val="24"/>
        </w:rPr>
        <w:object w:dxaOrig="1180" w:dyaOrig="320">
          <v:shape id="_x0000_i1106" type="#_x0000_t75" style="width:59.25pt;height:15.75pt" o:ole="">
            <v:imagedata r:id="rId171" o:title=""/>
          </v:shape>
          <o:OLEObject Type="Embed" ProgID="Equation.3" ShapeID="_x0000_i1106" DrawAspect="Content" ObjectID="_1550061374" r:id="rId172"/>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这也叫做无收益资产的现货——远期平价定理。对于无收益资产而言，远期价格等于其标的资产现货价格的终值。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例如：2007年8月31日，美元6个月期无风险利率为4.17%，市场上正在交易一份标的证券为一年期贴现债券、剩余期限为6个月的远期合约多头，其交割价格为970美元，该债券的现价为960美元。请问对于该远期合约的多头和空头，远期价值分别为多少？</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根据题意，有：</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S=960美元，K=970美元，r=4.17%，T-t=0.5</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该远期合约多头的远期价值f为：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5179" w:dyaOrig="360">
          <v:shape id="_x0000_i1107" type="#_x0000_t75" style="width:258.75pt;height:18pt" o:ole="">
            <v:imagedata r:id="rId173" o:title=""/>
          </v:shape>
          <o:OLEObject Type="Embed" ProgID="Equation.3" ShapeID="_x0000_i1107" DrawAspect="Content" ObjectID="_1550061375" r:id="rId174"/>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这样，远期合约空头的远期价值为-10.02美元。</w:t>
      </w:r>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（四）用无套利定价方法对</w:t>
      </w:r>
      <w:r w:rsidRPr="00481206">
        <w:rPr>
          <w:rFonts w:ascii="宋体" w:hAnsi="宋体"/>
          <w:bCs/>
          <w:position w:val="-6"/>
          <w:sz w:val="24"/>
        </w:rPr>
        <w:object w:dxaOrig="1180" w:dyaOrig="320">
          <v:shape id="_x0000_i1108" type="#_x0000_t75" style="width:59.25pt;height:15.75pt" o:ole="">
            <v:imagedata r:id="rId171" o:title=""/>
          </v:shape>
          <o:OLEObject Type="Embed" ProgID="Equation.3" ShapeID="_x0000_i1108" DrawAspect="Content" ObjectID="_1550061376" r:id="rId175"/>
        </w:object>
      </w:r>
      <w:r w:rsidRPr="00481206">
        <w:rPr>
          <w:rFonts w:ascii="宋体" w:hAnsi="宋体" w:hint="eastAsia"/>
          <w:bCs/>
          <w:sz w:val="24"/>
        </w:rPr>
        <w:t>进行证明</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1.若</w:t>
      </w:r>
      <w:r w:rsidRPr="00481206">
        <w:rPr>
          <w:rFonts w:ascii="宋体" w:hAnsi="宋体"/>
          <w:bCs/>
          <w:position w:val="-6"/>
          <w:sz w:val="24"/>
        </w:rPr>
        <w:object w:dxaOrig="1180" w:dyaOrig="320">
          <v:shape id="_x0000_i1109" type="#_x0000_t75" style="width:59.25pt;height:15.75pt" o:ole="">
            <v:imagedata r:id="rId176" o:title=""/>
          </v:shape>
          <o:OLEObject Type="Embed" ProgID="Equation.3" ShapeID="_x0000_i1109" DrawAspect="Content" ObjectID="_1550061377" r:id="rId177"/>
        </w:object>
      </w:r>
      <w:r w:rsidRPr="00481206">
        <w:rPr>
          <w:rFonts w:ascii="宋体" w:hAnsi="宋体" w:hint="eastAsia"/>
          <w:bCs/>
          <w:sz w:val="24"/>
        </w:rPr>
        <w:t>，即远期合约的交割价格大于现货价格的终值。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第一步：套利者以无风险利率</w:t>
      </w:r>
      <w:r w:rsidRPr="00481206">
        <w:rPr>
          <w:rFonts w:ascii="宋体" w:hAnsi="宋体"/>
          <w:bCs/>
          <w:position w:val="-4"/>
          <w:sz w:val="24"/>
        </w:rPr>
        <w:object w:dxaOrig="180" w:dyaOrig="200">
          <v:shape id="_x0000_i1110" type="#_x0000_t75" style="width:9pt;height:9.75pt" o:ole="">
            <v:imagedata r:id="rId178" o:title=""/>
          </v:shape>
          <o:OLEObject Type="Embed" ProgID="Equation.3" ShapeID="_x0000_i1110" DrawAspect="Content" ObjectID="_1550061378" r:id="rId179"/>
        </w:object>
      </w:r>
      <w:r w:rsidRPr="00481206">
        <w:rPr>
          <w:rFonts w:ascii="宋体" w:hAnsi="宋体" w:hint="eastAsia"/>
          <w:bCs/>
          <w:sz w:val="24"/>
        </w:rPr>
        <w:t>借入</w:t>
      </w:r>
      <w:r w:rsidRPr="00481206">
        <w:rPr>
          <w:rFonts w:ascii="宋体" w:hAnsi="宋体"/>
          <w:bCs/>
          <w:position w:val="-6"/>
          <w:sz w:val="24"/>
        </w:rPr>
        <w:object w:dxaOrig="220" w:dyaOrig="279">
          <v:shape id="_x0000_i1111" type="#_x0000_t75" style="width:11.25pt;height:14.25pt" o:ole="">
            <v:imagedata r:id="rId180" o:title=""/>
          </v:shape>
          <o:OLEObject Type="Embed" ProgID="Equation.3" ShapeID="_x0000_i1111" DrawAspect="Content" ObjectID="_1550061379" r:id="rId181"/>
        </w:object>
      </w:r>
      <w:r w:rsidRPr="00481206">
        <w:rPr>
          <w:rFonts w:ascii="宋体" w:hAnsi="宋体" w:hint="eastAsia"/>
          <w:bCs/>
          <w:sz w:val="24"/>
        </w:rPr>
        <w:t>现金，期限为</w:t>
      </w:r>
      <w:r w:rsidRPr="00481206">
        <w:rPr>
          <w:rFonts w:ascii="宋体" w:hAnsi="宋体"/>
          <w:bCs/>
          <w:position w:val="-6"/>
          <w:sz w:val="24"/>
        </w:rPr>
        <w:object w:dxaOrig="520" w:dyaOrig="279">
          <v:shape id="_x0000_i1112" type="#_x0000_t75" style="width:26.25pt;height:14.25pt" o:ole="">
            <v:imagedata r:id="rId182" o:title=""/>
          </v:shape>
          <o:OLEObject Type="Embed" ProgID="Equation.3" ShapeID="_x0000_i1112" DrawAspect="Content" ObjectID="_1550061380" r:id="rId183"/>
        </w:object>
      </w:r>
      <w:r w:rsidRPr="00481206">
        <w:rPr>
          <w:rFonts w:ascii="宋体" w:hAnsi="宋体" w:hint="eastAsia"/>
          <w:bCs/>
          <w:sz w:val="24"/>
        </w:rPr>
        <w:t>；</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第二步：用</w:t>
      </w:r>
      <w:r w:rsidRPr="00481206">
        <w:rPr>
          <w:rFonts w:ascii="宋体" w:hAnsi="宋体"/>
          <w:bCs/>
          <w:position w:val="-6"/>
          <w:sz w:val="24"/>
        </w:rPr>
        <w:object w:dxaOrig="220" w:dyaOrig="279">
          <v:shape id="_x0000_i1113" type="#_x0000_t75" style="width:11.25pt;height:14.25pt" o:ole="">
            <v:imagedata r:id="rId184" o:title=""/>
          </v:shape>
          <o:OLEObject Type="Embed" ProgID="Equation.3" ShapeID="_x0000_i1113" DrawAspect="Content" ObjectID="_1550061381" r:id="rId185"/>
        </w:object>
      </w:r>
      <w:r w:rsidRPr="00481206">
        <w:rPr>
          <w:rFonts w:ascii="宋体" w:hAnsi="宋体" w:hint="eastAsia"/>
          <w:bCs/>
          <w:sz w:val="24"/>
        </w:rPr>
        <w:t>购买某一单位的标的资产，同时卖出一份该资产的远期合约，交割价格为</w:t>
      </w:r>
      <w:r w:rsidRPr="00481206">
        <w:rPr>
          <w:rFonts w:ascii="宋体" w:hAnsi="宋体"/>
          <w:bCs/>
          <w:position w:val="-4"/>
          <w:sz w:val="24"/>
        </w:rPr>
        <w:object w:dxaOrig="260" w:dyaOrig="260">
          <v:shape id="_x0000_i1114" type="#_x0000_t75" style="width:12.75pt;height:12.75pt" o:ole="">
            <v:imagedata r:id="rId186" o:title=""/>
          </v:shape>
          <o:OLEObject Type="Embed" ProgID="Equation.3" ShapeID="_x0000_i1114" DrawAspect="Content" ObjectID="_1550061382" r:id="rId187"/>
        </w:object>
      </w:r>
      <w:r w:rsidRPr="00481206">
        <w:rPr>
          <w:rFonts w:ascii="宋体" w:hAnsi="宋体" w:hint="eastAsia"/>
          <w:bCs/>
          <w:sz w:val="24"/>
        </w:rPr>
        <w:t>；</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第三步：在</w:t>
      </w:r>
      <w:r w:rsidRPr="00481206">
        <w:rPr>
          <w:rFonts w:ascii="宋体" w:hAnsi="宋体"/>
          <w:bCs/>
          <w:position w:val="-4"/>
          <w:sz w:val="24"/>
        </w:rPr>
        <w:object w:dxaOrig="220" w:dyaOrig="260">
          <v:shape id="_x0000_i1115" type="#_x0000_t75" style="width:11.25pt;height:12.75pt" o:ole="">
            <v:imagedata r:id="rId188" o:title=""/>
          </v:shape>
          <o:OLEObject Type="Embed" ProgID="Equation.3" ShapeID="_x0000_i1115" DrawAspect="Content" ObjectID="_1550061383" r:id="rId189"/>
        </w:object>
      </w:r>
      <w:r w:rsidRPr="00481206">
        <w:rPr>
          <w:rFonts w:ascii="宋体" w:hAnsi="宋体" w:hint="eastAsia"/>
          <w:bCs/>
          <w:sz w:val="24"/>
        </w:rPr>
        <w:t>时刻，该投资者通过远期合约的交割换来</w:t>
      </w:r>
      <w:r w:rsidRPr="00481206">
        <w:rPr>
          <w:rFonts w:ascii="宋体" w:hAnsi="宋体"/>
          <w:bCs/>
          <w:position w:val="-4"/>
          <w:sz w:val="24"/>
        </w:rPr>
        <w:object w:dxaOrig="260" w:dyaOrig="260">
          <v:shape id="_x0000_i1116" type="#_x0000_t75" style="width:12.75pt;height:12.75pt" o:ole="">
            <v:imagedata r:id="rId190" o:title=""/>
          </v:shape>
          <o:OLEObject Type="Embed" ProgID="Equation.3" ShapeID="_x0000_i1116" DrawAspect="Content" ObjectID="_1550061384" r:id="rId191"/>
        </w:object>
      </w:r>
      <w:r w:rsidRPr="00481206">
        <w:rPr>
          <w:rFonts w:ascii="宋体" w:hAnsi="宋体" w:hint="eastAsia"/>
          <w:bCs/>
          <w:sz w:val="24"/>
        </w:rPr>
        <w:t>的现金，并归还本息</w:t>
      </w:r>
      <w:r w:rsidRPr="00481206">
        <w:rPr>
          <w:rFonts w:ascii="宋体" w:hAnsi="宋体"/>
          <w:bCs/>
          <w:position w:val="-6"/>
          <w:sz w:val="24"/>
        </w:rPr>
        <w:object w:dxaOrig="740" w:dyaOrig="320">
          <v:shape id="_x0000_i1117" type="#_x0000_t75" style="width:36.75pt;height:15.75pt" o:ole="">
            <v:imagedata r:id="rId192" o:title=""/>
          </v:shape>
          <o:OLEObject Type="Embed" ProgID="Equation.3" ShapeID="_x0000_i1117" DrawAspect="Content" ObjectID="_1550061385" r:id="rId193"/>
        </w:object>
      </w:r>
      <w:r w:rsidRPr="00481206">
        <w:rPr>
          <w:rFonts w:ascii="宋体" w:hAnsi="宋体" w:hint="eastAsia"/>
          <w:bCs/>
          <w:sz w:val="24"/>
        </w:rPr>
        <w:t>，这就实现了</w:t>
      </w:r>
      <w:r w:rsidRPr="00481206">
        <w:rPr>
          <w:rFonts w:ascii="宋体" w:hAnsi="宋体"/>
          <w:bCs/>
          <w:position w:val="-6"/>
          <w:sz w:val="24"/>
        </w:rPr>
        <w:object w:dxaOrig="1140" w:dyaOrig="320">
          <v:shape id="_x0000_i1118" type="#_x0000_t75" style="width:57pt;height:15.75pt" o:ole="">
            <v:imagedata r:id="rId194" o:title=""/>
          </v:shape>
          <o:OLEObject Type="Embed" ProgID="Equation.3" ShapeID="_x0000_i1118" DrawAspect="Content" ObjectID="_1550061386" r:id="rId195"/>
        </w:object>
      </w:r>
      <w:r w:rsidRPr="00481206">
        <w:rPr>
          <w:rFonts w:ascii="宋体" w:hAnsi="宋体" w:hint="eastAsia"/>
          <w:bCs/>
          <w:sz w:val="24"/>
        </w:rPr>
        <w:t>的无风险利润。</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lastRenderedPageBreak/>
        <w:t>2.若</w:t>
      </w:r>
      <w:r w:rsidRPr="00481206">
        <w:rPr>
          <w:rFonts w:ascii="宋体" w:hAnsi="宋体"/>
          <w:bCs/>
          <w:position w:val="-6"/>
          <w:sz w:val="24"/>
        </w:rPr>
        <w:object w:dxaOrig="1160" w:dyaOrig="320">
          <v:shape id="_x0000_i1119" type="#_x0000_t75" style="width:57.75pt;height:15.75pt" o:ole="">
            <v:imagedata r:id="rId196" o:title=""/>
          </v:shape>
          <o:OLEObject Type="Embed" ProgID="Equation.3" ShapeID="_x0000_i1119" DrawAspect="Content" ObjectID="_1550061387" r:id="rId197"/>
        </w:object>
      </w:r>
      <w:r w:rsidRPr="00481206">
        <w:rPr>
          <w:rFonts w:ascii="宋体" w:hAnsi="宋体" w:hint="eastAsia"/>
          <w:bCs/>
          <w:sz w:val="24"/>
        </w:rPr>
        <w:t>，即远期合约的交割价格小于现货价格的终值。</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第一步：借入标的资产，并卖出，得到S的收入，同时以无风险利率进行投资，期限为</w:t>
      </w:r>
      <w:r w:rsidRPr="00481206">
        <w:rPr>
          <w:rFonts w:ascii="宋体" w:hAnsi="宋体"/>
          <w:bCs/>
          <w:position w:val="-6"/>
          <w:sz w:val="24"/>
        </w:rPr>
        <w:object w:dxaOrig="520" w:dyaOrig="279">
          <v:shape id="_x0000_i1120" type="#_x0000_t75" style="width:26.25pt;height:14.25pt" o:ole="">
            <v:imagedata r:id="rId182" o:title=""/>
          </v:shape>
          <o:OLEObject Type="Embed" ProgID="Equation.3" ShapeID="_x0000_i1120" DrawAspect="Content" ObjectID="_1550061388" r:id="rId198"/>
        </w:object>
      </w:r>
      <w:r w:rsidRPr="00481206">
        <w:rPr>
          <w:rFonts w:ascii="宋体" w:hAnsi="宋体" w:hint="eastAsia"/>
          <w:bCs/>
          <w:sz w:val="24"/>
        </w:rPr>
        <w:t>，同时买进一份该标的资产的远期合约，交割价格为F。</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第二步：在T时刻，套利者收到的投资本息为</w:t>
      </w:r>
      <w:r w:rsidRPr="00481206">
        <w:rPr>
          <w:rFonts w:ascii="宋体" w:hAnsi="宋体"/>
          <w:bCs/>
          <w:position w:val="-6"/>
          <w:sz w:val="24"/>
        </w:rPr>
        <w:object w:dxaOrig="740" w:dyaOrig="320">
          <v:shape id="_x0000_i1121" type="#_x0000_t75" style="width:36.75pt;height:15.75pt" o:ole="">
            <v:imagedata r:id="rId199" o:title=""/>
          </v:shape>
          <o:OLEObject Type="Embed" ProgID="Equation.3" ShapeID="_x0000_i1121" DrawAspect="Content" ObjectID="_1550061389" r:id="rId200"/>
        </w:object>
      </w:r>
      <w:r w:rsidRPr="00481206">
        <w:rPr>
          <w:rFonts w:ascii="宋体" w:hAnsi="宋体" w:hint="eastAsia"/>
          <w:bCs/>
          <w:sz w:val="24"/>
        </w:rPr>
        <w:t>，并以F的现金购买一单位的标的资产，用于归还卖空借入的标的资产，从而实现</w:t>
      </w:r>
      <w:r w:rsidRPr="00481206">
        <w:rPr>
          <w:rFonts w:ascii="宋体" w:hAnsi="宋体"/>
          <w:bCs/>
          <w:position w:val="-6"/>
          <w:sz w:val="24"/>
        </w:rPr>
        <w:object w:dxaOrig="1180" w:dyaOrig="320">
          <v:shape id="_x0000_i1122" type="#_x0000_t75" style="width:59.25pt;height:15.75pt" o:ole="">
            <v:imagedata r:id="rId201" o:title=""/>
          </v:shape>
          <o:OLEObject Type="Embed" ProgID="Equation.3" ShapeID="_x0000_i1122" DrawAspect="Content" ObjectID="_1550061390" r:id="rId202"/>
        </w:object>
      </w:r>
      <w:r w:rsidRPr="00481206">
        <w:rPr>
          <w:rFonts w:ascii="宋体" w:hAnsi="宋体" w:hint="eastAsia"/>
          <w:bCs/>
          <w:sz w:val="24"/>
        </w:rPr>
        <w:t>的利润。</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由此可见，套利者可以进行不断的无风险套利行为，从而实现交割价格和标的资产现货价格终值差异的消失，由此</w:t>
      </w:r>
      <w:r w:rsidRPr="00481206">
        <w:rPr>
          <w:rFonts w:ascii="宋体" w:hAnsi="宋体"/>
          <w:bCs/>
          <w:position w:val="-6"/>
          <w:sz w:val="24"/>
        </w:rPr>
        <w:object w:dxaOrig="1180" w:dyaOrig="320">
          <v:shape id="_x0000_i1123" type="#_x0000_t75" style="width:59.25pt;height:15.75pt" o:ole="">
            <v:imagedata r:id="rId171" o:title=""/>
          </v:shape>
          <o:OLEObject Type="Embed" ProgID="Equation.3" ShapeID="_x0000_i1123" DrawAspect="Content" ObjectID="_1550061391" r:id="rId203"/>
        </w:object>
      </w:r>
      <w:r w:rsidRPr="00481206">
        <w:rPr>
          <w:rFonts w:ascii="宋体" w:hAnsi="宋体" w:hint="eastAsia"/>
          <w:bCs/>
          <w:sz w:val="24"/>
        </w:rPr>
        <w:t>。</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例如：2007年8月31日，美元3月期的无风险年利率为3.99%。市场上正在交易一个期限为3个月的股票远期合约，标的股票不支付红利且当时的市价为40美元。那么，这份远期合约的交割价格应为：</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6"/>
          <w:sz w:val="24"/>
        </w:rPr>
        <w:object w:dxaOrig="1500" w:dyaOrig="240">
          <v:shape id="_x0000_i1124" type="#_x0000_t75" style="width:102pt;height:16.5pt" o:ole="">
            <v:imagedata r:id="rId204" o:title=""/>
          </v:shape>
          <o:OLEObject Type="Embed" ProgID="Equation.DSMT4" ShapeID="_x0000_i1124" DrawAspect="Content" ObjectID="_1550061392" r:id="rId205"/>
        </w:object>
      </w:r>
      <w:r w:rsidRPr="00481206">
        <w:rPr>
          <w:rFonts w:ascii="宋体" w:hAnsi="宋体" w:hint="eastAsia"/>
          <w:bCs/>
          <w:sz w:val="24"/>
        </w:rPr>
        <w:t>美元</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假设市场上该合约的交割价格为40.20美元，套利者可以卖空该股票获得40美元，并进行无风险利率投资，在期末可获得40.40美元，然后该套利者通过40.20美元的交割价格买入该股票进行归还，因此该套利者获得了40.40-40.20=0.2美元的利润。</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但如果市场上远期合约的交割价格为40.80美元，套利者借入40美元买入股票，并以40.80美元的价格签订一份该股票的远期合约空头，期末可以获得40.80-40.40=0.4美元的利润。</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五、支付已知现金收益资产远期合约的定价</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支付已知现金收益的资产是指在到期前会产生完全可预测的现金流的资产，如付息债券和支付已知现金红利的股票。黄金、白银等贵金属本身不产生收益，但需要花费一定的存储成本，存储成本可看成是负收益。令已知现金收益的现值为</w:t>
      </w:r>
      <w:r w:rsidRPr="00481206">
        <w:rPr>
          <w:rFonts w:ascii="宋体" w:hAnsi="宋体"/>
          <w:bCs/>
          <w:position w:val="-4"/>
          <w:sz w:val="24"/>
        </w:rPr>
        <w:object w:dxaOrig="200" w:dyaOrig="260">
          <v:shape id="_x0000_i1125" type="#_x0000_t75" style="width:9.75pt;height:12.75pt" o:ole="">
            <v:imagedata r:id="rId206" o:title=""/>
          </v:shape>
          <o:OLEObject Type="Embed" ProgID="Equation.3" ShapeID="_x0000_i1125" DrawAspect="Content" ObjectID="_1550061393" r:id="rId207"/>
        </w:object>
      </w:r>
      <w:r w:rsidRPr="00481206">
        <w:rPr>
          <w:rFonts w:ascii="宋体" w:hAnsi="宋体" w:hint="eastAsia"/>
          <w:bCs/>
          <w:sz w:val="24"/>
        </w:rPr>
        <w:t>，对黄金、白银来说，</w:t>
      </w:r>
      <w:r w:rsidRPr="00481206">
        <w:rPr>
          <w:rFonts w:ascii="宋体" w:hAnsi="宋体"/>
          <w:bCs/>
          <w:position w:val="-4"/>
          <w:sz w:val="24"/>
        </w:rPr>
        <w:object w:dxaOrig="200" w:dyaOrig="260">
          <v:shape id="_x0000_i1126" type="#_x0000_t75" style="width:9.75pt;height:12.75pt" o:ole="">
            <v:imagedata r:id="rId208" o:title=""/>
          </v:shape>
          <o:OLEObject Type="Embed" ProgID="Equation.3" ShapeID="_x0000_i1126" DrawAspect="Content" ObjectID="_1550061394" r:id="rId209"/>
        </w:object>
      </w:r>
      <w:r w:rsidRPr="00481206">
        <w:rPr>
          <w:rFonts w:ascii="宋体" w:hAnsi="宋体" w:hint="eastAsia"/>
          <w:bCs/>
          <w:sz w:val="24"/>
        </w:rPr>
        <w:t>为负值。</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构造如下组合：</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组合A：一份远期合约多头（该远期合约规定在到期日可按交割价格K购买一单位标的资产）加上一笔数额为</w:t>
      </w:r>
      <w:r w:rsidRPr="00481206">
        <w:rPr>
          <w:rFonts w:ascii="宋体" w:hAnsi="宋体"/>
          <w:bCs/>
          <w:position w:val="-6"/>
          <w:sz w:val="24"/>
        </w:rPr>
        <w:object w:dxaOrig="859" w:dyaOrig="320">
          <v:shape id="_x0000_i1127" type="#_x0000_t75" style="width:42.75pt;height:15.75pt" o:ole="">
            <v:imagedata r:id="rId158" o:title=""/>
          </v:shape>
          <o:OLEObject Type="Embed" ProgID="Equation.3" ShapeID="_x0000_i1127" DrawAspect="Content" ObjectID="_1550061395" r:id="rId210"/>
        </w:object>
      </w:r>
      <w:r w:rsidRPr="00481206">
        <w:rPr>
          <w:rFonts w:ascii="宋体" w:hAnsi="宋体" w:hint="eastAsia"/>
          <w:bCs/>
          <w:sz w:val="24"/>
        </w:rPr>
        <w:t>的现金；</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组合B：一单位标的证券加上利率为无风险利率、期限为从现在到现金收益派发日、本金为I的现金流支付（注意，I为证券在T时刻支付现金流的现值）；</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对于组合A，在T时刻的价值为一单位标的证券，对于组合B，由于标的证券的收</w:t>
      </w:r>
      <w:r w:rsidRPr="00481206">
        <w:rPr>
          <w:rFonts w:ascii="宋体" w:hAnsi="宋体" w:hint="eastAsia"/>
          <w:bCs/>
          <w:sz w:val="24"/>
        </w:rPr>
        <w:lastRenderedPageBreak/>
        <w:t>益刚好可以用来偿还负债的本息，因此在T时刻，该组合的价值也等于单一标的证券。所以在t时刻，这两个组合的价值应该相等，即：</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10"/>
          <w:sz w:val="24"/>
        </w:rPr>
        <w:object w:dxaOrig="2040" w:dyaOrig="360">
          <v:shape id="_x0000_i1128" type="#_x0000_t75" style="width:102pt;height:18pt" o:ole="">
            <v:imagedata r:id="rId211" o:title=""/>
          </v:shape>
          <o:OLEObject Type="Embed" ProgID="Equation.3" ShapeID="_x0000_i1128" DrawAspect="Content" ObjectID="_1550061396" r:id="rId212"/>
        </w:object>
      </w:r>
    </w:p>
    <w:p w:rsidR="00481206" w:rsidRPr="00481206" w:rsidRDefault="00481206" w:rsidP="00481206">
      <w:pPr>
        <w:spacing w:line="360" w:lineRule="auto"/>
        <w:ind w:firstLine="480"/>
        <w:rPr>
          <w:rFonts w:ascii="宋体" w:hAnsi="宋体"/>
          <w:bCs/>
          <w:sz w:val="24"/>
        </w:rPr>
      </w:pPr>
      <w:r w:rsidRPr="00481206">
        <w:rPr>
          <w:rFonts w:ascii="宋体" w:hAnsi="宋体"/>
          <w:bCs/>
          <w:position w:val="-10"/>
          <w:sz w:val="24"/>
        </w:rPr>
        <w:object w:dxaOrig="2000" w:dyaOrig="360">
          <v:shape id="_x0000_i1129" type="#_x0000_t75" style="width:99.75pt;height:18pt" o:ole="">
            <v:imagedata r:id="rId213" o:title=""/>
          </v:shape>
          <o:OLEObject Type="Embed" ProgID="Equation.3" ShapeID="_x0000_i1129" DrawAspect="Content" ObjectID="_1550061397" r:id="rId214"/>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由此可见，支付已知现金收益资产的远期合约多头价值等于标的证券的现值价格扣除现金收益现值后的余额与交割价格的现值的差。</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根据远期价格的定义，可得到：</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10"/>
          <w:sz w:val="24"/>
        </w:rPr>
        <w:object w:dxaOrig="1700" w:dyaOrig="360">
          <v:shape id="_x0000_i1130" type="#_x0000_t75" style="width:84.75pt;height:18pt" o:ole="">
            <v:imagedata r:id="rId215" o:title=""/>
          </v:shape>
          <o:OLEObject Type="Embed" ProgID="Equation.3" ShapeID="_x0000_i1130" DrawAspect="Content" ObjectID="_1550061398" r:id="rId216"/>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例如，2007年8月31日，美元6月期与1年期的无风险利率分别为4.17%与4.11%。市场上一种10年期国债现货价格为990美元，该证券一年期远期合约的交割价格为1001美元，该债券在6个月和12个月后都将收到60美元的利息，且第二次付息日在远期合约交割日之前，求该远期合约的价值。</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根据已知条件，先算出该债券已知现金收益的现值：</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8"/>
          <w:sz w:val="24"/>
        </w:rPr>
        <w:object w:dxaOrig="4480" w:dyaOrig="340">
          <v:shape id="_x0000_i1131" type="#_x0000_t75" style="width:224.25pt;height:17.25pt" o:ole="">
            <v:imagedata r:id="rId217" o:title=""/>
          </v:shape>
          <o:OLEObject Type="Embed" ProgID="Equation.3" ShapeID="_x0000_i1131" DrawAspect="Content" ObjectID="_1550061399" r:id="rId218"/>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因此该远期合约多头的价值为：</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10"/>
          <w:sz w:val="24"/>
        </w:rPr>
        <w:object w:dxaOrig="6480" w:dyaOrig="360">
          <v:shape id="_x0000_i1132" type="#_x0000_t75" style="width:324pt;height:18pt" o:ole="">
            <v:imagedata r:id="rId219" o:title=""/>
          </v:shape>
          <o:OLEObject Type="Embed" ProgID="Equation.3" ShapeID="_x0000_i1132" DrawAspect="Content" ObjectID="_1550061400" r:id="rId220"/>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相应地，该合约空头的远期价值为87.04美元。</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用无套利定价方法对</w:t>
      </w:r>
      <w:r w:rsidRPr="00481206">
        <w:rPr>
          <w:rFonts w:ascii="宋体" w:hAnsi="宋体"/>
          <w:bCs/>
          <w:position w:val="-10"/>
          <w:sz w:val="24"/>
        </w:rPr>
        <w:object w:dxaOrig="1700" w:dyaOrig="360">
          <v:shape id="_x0000_i1133" type="#_x0000_t75" style="width:84.75pt;height:18pt" o:ole="">
            <v:imagedata r:id="rId215" o:title=""/>
          </v:shape>
          <o:OLEObject Type="Embed" ProgID="Equation.3" ShapeID="_x0000_i1133" DrawAspect="Content" ObjectID="_1550061401" r:id="rId221"/>
        </w:object>
      </w:r>
      <w:r w:rsidRPr="00481206">
        <w:rPr>
          <w:rFonts w:ascii="宋体" w:hAnsi="宋体" w:hint="eastAsia"/>
          <w:bCs/>
          <w:sz w:val="24"/>
        </w:rPr>
        <w:t>进行证明</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假设</w:t>
      </w:r>
      <w:r w:rsidRPr="00481206">
        <w:rPr>
          <w:rFonts w:ascii="宋体" w:hAnsi="宋体"/>
          <w:bCs/>
          <w:position w:val="-10"/>
          <w:sz w:val="24"/>
        </w:rPr>
        <w:object w:dxaOrig="1700" w:dyaOrig="360">
          <v:shape id="_x0000_i1134" type="#_x0000_t75" style="width:84.75pt;height:18pt" o:ole="">
            <v:imagedata r:id="rId222" o:title=""/>
          </v:shape>
          <o:OLEObject Type="Embed" ProgID="Equation.3" ShapeID="_x0000_i1134" DrawAspect="Content" ObjectID="_1550061402" r:id="rId223"/>
        </w:object>
      </w:r>
      <w:r w:rsidRPr="00481206">
        <w:rPr>
          <w:rFonts w:ascii="宋体" w:hAnsi="宋体" w:hint="eastAsia"/>
          <w:bCs/>
          <w:sz w:val="24"/>
        </w:rPr>
        <w:t>，即交割价格大于远期的理论价格。则套利者的操作为：</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第一步：以无风险利率借入现金</w:t>
      </w:r>
      <w:r w:rsidRPr="00481206">
        <w:rPr>
          <w:rFonts w:ascii="宋体" w:hAnsi="宋体"/>
          <w:bCs/>
          <w:position w:val="-6"/>
          <w:sz w:val="24"/>
        </w:rPr>
        <w:object w:dxaOrig="220" w:dyaOrig="279">
          <v:shape id="_x0000_i1135" type="#_x0000_t75" style="width:11.25pt;height:14.25pt" o:ole="">
            <v:imagedata r:id="rId224" o:title=""/>
          </v:shape>
          <o:OLEObject Type="Embed" ProgID="Equation.3" ShapeID="_x0000_i1135" DrawAspect="Content" ObjectID="_1550061403" r:id="rId225"/>
        </w:object>
      </w:r>
      <w:r w:rsidRPr="00481206">
        <w:rPr>
          <w:rFonts w:ascii="宋体" w:hAnsi="宋体" w:hint="eastAsia"/>
          <w:bCs/>
          <w:sz w:val="24"/>
        </w:rPr>
        <w:t>买入标的资产，卖出一份交割价格为</w:t>
      </w:r>
      <w:r w:rsidRPr="00481206">
        <w:rPr>
          <w:rFonts w:ascii="宋体" w:hAnsi="宋体"/>
          <w:bCs/>
          <w:position w:val="-4"/>
          <w:sz w:val="24"/>
        </w:rPr>
        <w:object w:dxaOrig="260" w:dyaOrig="260">
          <v:shape id="_x0000_i1136" type="#_x0000_t75" style="width:12.75pt;height:12.75pt" o:ole="">
            <v:imagedata r:id="rId226" o:title=""/>
          </v:shape>
          <o:OLEObject Type="Embed" ProgID="Equation.3" ShapeID="_x0000_i1136" DrawAspect="Content" ObjectID="_1550061404" r:id="rId227"/>
        </w:object>
      </w:r>
      <w:r w:rsidRPr="00481206">
        <w:rPr>
          <w:rFonts w:ascii="宋体" w:hAnsi="宋体" w:hint="eastAsia"/>
          <w:bCs/>
          <w:sz w:val="24"/>
        </w:rPr>
        <w:t>的远期合约；</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第二步：将</w:t>
      </w:r>
      <w:r w:rsidRPr="00481206">
        <w:rPr>
          <w:rFonts w:ascii="宋体" w:hAnsi="宋体"/>
          <w:bCs/>
          <w:position w:val="-6"/>
          <w:sz w:val="24"/>
        </w:rPr>
        <w:object w:dxaOrig="520" w:dyaOrig="279">
          <v:shape id="_x0000_i1137" type="#_x0000_t75" style="width:26.25pt;height:14.25pt" o:ole="">
            <v:imagedata r:id="rId228" o:title=""/>
          </v:shape>
          <o:OLEObject Type="Embed" ProgID="Equation.3" ShapeID="_x0000_i1137" DrawAspect="Content" ObjectID="_1550061405" r:id="rId229"/>
        </w:object>
      </w:r>
      <w:r w:rsidRPr="00481206">
        <w:rPr>
          <w:rFonts w:ascii="宋体" w:hAnsi="宋体" w:hint="eastAsia"/>
          <w:bCs/>
          <w:sz w:val="24"/>
        </w:rPr>
        <w:t>期间从标的资产获得现金收益以无风险利率贷出至</w:t>
      </w:r>
      <w:r w:rsidRPr="00481206">
        <w:rPr>
          <w:rFonts w:ascii="宋体" w:hAnsi="宋体"/>
          <w:bCs/>
          <w:position w:val="-4"/>
          <w:sz w:val="24"/>
        </w:rPr>
        <w:object w:dxaOrig="220" w:dyaOrig="260">
          <v:shape id="_x0000_i1138" type="#_x0000_t75" style="width:11.25pt;height:12.75pt" o:ole="">
            <v:imagedata r:id="rId230" o:title=""/>
          </v:shape>
          <o:OLEObject Type="Embed" ProgID="Equation.3" ShapeID="_x0000_i1138" DrawAspect="Content" ObjectID="_1550061406" r:id="rId231"/>
        </w:object>
      </w:r>
      <w:r w:rsidRPr="00481206">
        <w:rPr>
          <w:rFonts w:ascii="宋体" w:hAnsi="宋体" w:hint="eastAsia"/>
          <w:bCs/>
          <w:sz w:val="24"/>
        </w:rPr>
        <w:t>时刻；</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第三步：到</w:t>
      </w:r>
      <w:r w:rsidRPr="00481206">
        <w:rPr>
          <w:rFonts w:ascii="宋体" w:hAnsi="宋体"/>
          <w:bCs/>
          <w:position w:val="-4"/>
          <w:sz w:val="24"/>
        </w:rPr>
        <w:object w:dxaOrig="220" w:dyaOrig="260">
          <v:shape id="_x0000_i1139" type="#_x0000_t75" style="width:11.25pt;height:12.75pt" o:ole="">
            <v:imagedata r:id="rId232" o:title=""/>
          </v:shape>
          <o:OLEObject Type="Embed" ProgID="Equation.3" ShapeID="_x0000_i1139" DrawAspect="Content" ObjectID="_1550061407" r:id="rId233"/>
        </w:object>
      </w:r>
      <w:r w:rsidRPr="00481206">
        <w:rPr>
          <w:rFonts w:ascii="宋体" w:hAnsi="宋体" w:hint="eastAsia"/>
          <w:bCs/>
          <w:sz w:val="24"/>
        </w:rPr>
        <w:t>时刻，套利者将标的资产用于交割得到的现金为</w:t>
      </w:r>
      <w:r w:rsidRPr="00481206">
        <w:rPr>
          <w:rFonts w:ascii="宋体" w:hAnsi="宋体"/>
          <w:bCs/>
          <w:position w:val="-4"/>
          <w:sz w:val="24"/>
        </w:rPr>
        <w:object w:dxaOrig="260" w:dyaOrig="260">
          <v:shape id="_x0000_i1140" type="#_x0000_t75" style="width:12.75pt;height:12.75pt" o:ole="">
            <v:imagedata r:id="rId226" o:title=""/>
          </v:shape>
          <o:OLEObject Type="Embed" ProgID="Equation.3" ShapeID="_x0000_i1140" DrawAspect="Content" ObjectID="_1550061408" r:id="rId234"/>
        </w:object>
      </w:r>
      <w:r w:rsidRPr="00481206">
        <w:rPr>
          <w:rFonts w:ascii="宋体" w:hAnsi="宋体" w:hint="eastAsia"/>
          <w:bCs/>
          <w:sz w:val="24"/>
        </w:rPr>
        <w:t>，还本付息为</w:t>
      </w:r>
      <w:r w:rsidRPr="00481206">
        <w:rPr>
          <w:rFonts w:ascii="宋体" w:hAnsi="宋体"/>
          <w:bCs/>
          <w:position w:val="-6"/>
          <w:sz w:val="24"/>
        </w:rPr>
        <w:object w:dxaOrig="740" w:dyaOrig="320">
          <v:shape id="_x0000_i1141" type="#_x0000_t75" style="width:36.75pt;height:15.75pt" o:ole="">
            <v:imagedata r:id="rId235" o:title=""/>
          </v:shape>
          <o:OLEObject Type="Embed" ProgID="Equation.3" ShapeID="_x0000_i1141" DrawAspect="Content" ObjectID="_1550061409" r:id="rId236"/>
        </w:object>
      </w:r>
      <w:r w:rsidRPr="00481206">
        <w:rPr>
          <w:rFonts w:ascii="宋体" w:hAnsi="宋体" w:hint="eastAsia"/>
          <w:bCs/>
          <w:sz w:val="24"/>
        </w:rPr>
        <w:t>，同时得到</w:t>
      </w:r>
      <w:r w:rsidRPr="00481206">
        <w:rPr>
          <w:rFonts w:ascii="宋体" w:hAnsi="宋体"/>
          <w:bCs/>
          <w:position w:val="-6"/>
          <w:sz w:val="24"/>
        </w:rPr>
        <w:object w:dxaOrig="700" w:dyaOrig="320">
          <v:shape id="_x0000_i1142" type="#_x0000_t75" style="width:35.25pt;height:15.75pt" o:ole="">
            <v:imagedata r:id="rId237" o:title=""/>
          </v:shape>
          <o:OLEObject Type="Embed" ProgID="Equation.3" ShapeID="_x0000_i1142" DrawAspect="Content" ObjectID="_1550061410" r:id="rId238"/>
        </w:object>
      </w:r>
      <w:r w:rsidRPr="00481206">
        <w:rPr>
          <w:rFonts w:ascii="宋体" w:hAnsi="宋体" w:hint="eastAsia"/>
          <w:bCs/>
          <w:sz w:val="24"/>
        </w:rPr>
        <w:t>的本利收入，最终套利者在T时刻可实现无风险利润</w:t>
      </w:r>
      <w:r w:rsidRPr="00481206">
        <w:rPr>
          <w:rFonts w:ascii="宋体" w:hAnsi="宋体"/>
          <w:bCs/>
          <w:position w:val="-10"/>
          <w:sz w:val="24"/>
        </w:rPr>
        <w:object w:dxaOrig="1660" w:dyaOrig="360">
          <v:shape id="_x0000_i1143" type="#_x0000_t75" style="width:83.25pt;height:18pt" o:ole="">
            <v:imagedata r:id="rId239" o:title=""/>
          </v:shape>
          <o:OLEObject Type="Embed" ProgID="Equation.3" ShapeID="_x0000_i1143" DrawAspect="Content" ObjectID="_1550061411" r:id="rId240"/>
        </w:object>
      </w:r>
      <w:r w:rsidRPr="00481206">
        <w:rPr>
          <w:rFonts w:ascii="宋体" w:hAnsi="宋体" w:hint="eastAsia"/>
          <w:bCs/>
          <w:sz w:val="24"/>
        </w:rPr>
        <w:t>。</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假设</w:t>
      </w:r>
      <w:r w:rsidRPr="00481206">
        <w:rPr>
          <w:rFonts w:ascii="宋体" w:hAnsi="宋体"/>
          <w:bCs/>
          <w:position w:val="-10"/>
          <w:sz w:val="24"/>
        </w:rPr>
        <w:object w:dxaOrig="1700" w:dyaOrig="360">
          <v:shape id="_x0000_i1144" type="#_x0000_t75" style="width:84.75pt;height:18pt" o:ole="">
            <v:imagedata r:id="rId241" o:title=""/>
          </v:shape>
          <o:OLEObject Type="Embed" ProgID="Equation.3" ShapeID="_x0000_i1144" DrawAspect="Content" ObjectID="_1550061412" r:id="rId242"/>
        </w:object>
      </w:r>
      <w:r w:rsidRPr="00481206">
        <w:rPr>
          <w:rFonts w:ascii="宋体" w:hAnsi="宋体" w:hint="eastAsia"/>
          <w:bCs/>
          <w:sz w:val="24"/>
        </w:rPr>
        <w:t>，即交割价格小于远期的理论价格。则套利者的操作为：</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第一步：借入标的资产，并卖掉，得到现金收入</w:t>
      </w:r>
      <w:r w:rsidRPr="00481206">
        <w:rPr>
          <w:rFonts w:ascii="宋体" w:hAnsi="宋体"/>
          <w:bCs/>
          <w:position w:val="-6"/>
          <w:sz w:val="24"/>
        </w:rPr>
        <w:object w:dxaOrig="220" w:dyaOrig="279">
          <v:shape id="_x0000_i1145" type="#_x0000_t75" style="width:11.25pt;height:14.25pt" o:ole="">
            <v:imagedata r:id="rId224" o:title=""/>
          </v:shape>
          <o:OLEObject Type="Embed" ProgID="Equation.3" ShapeID="_x0000_i1145" DrawAspect="Content" ObjectID="_1550061413" r:id="rId243"/>
        </w:object>
      </w:r>
      <w:r w:rsidRPr="00481206">
        <w:rPr>
          <w:rFonts w:ascii="宋体" w:hAnsi="宋体" w:hint="eastAsia"/>
          <w:bCs/>
          <w:sz w:val="24"/>
        </w:rPr>
        <w:t>以无风险利率贷出，同时买入一</w:t>
      </w:r>
      <w:r w:rsidRPr="00481206">
        <w:rPr>
          <w:rFonts w:ascii="宋体" w:hAnsi="宋体" w:hint="eastAsia"/>
          <w:bCs/>
          <w:sz w:val="24"/>
        </w:rPr>
        <w:lastRenderedPageBreak/>
        <w:t>份交割价格为</w:t>
      </w:r>
      <w:r w:rsidRPr="00481206">
        <w:rPr>
          <w:rFonts w:ascii="宋体" w:hAnsi="宋体"/>
          <w:bCs/>
          <w:position w:val="-4"/>
          <w:sz w:val="24"/>
        </w:rPr>
        <w:object w:dxaOrig="260" w:dyaOrig="260">
          <v:shape id="_x0000_i1146" type="#_x0000_t75" style="width:12.75pt;height:12.75pt" o:ole="">
            <v:imagedata r:id="rId226" o:title=""/>
          </v:shape>
          <o:OLEObject Type="Embed" ProgID="Equation.3" ShapeID="_x0000_i1146" DrawAspect="Content" ObjectID="_1550061414" r:id="rId244"/>
        </w:object>
      </w:r>
      <w:r w:rsidRPr="00481206">
        <w:rPr>
          <w:rFonts w:ascii="宋体" w:hAnsi="宋体" w:hint="eastAsia"/>
          <w:bCs/>
          <w:sz w:val="24"/>
        </w:rPr>
        <w:t>的远期合约；</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第二步：在T时刻，套利者可以得到贷款本息收入</w:t>
      </w:r>
      <w:r w:rsidRPr="00481206">
        <w:rPr>
          <w:rFonts w:ascii="宋体" w:hAnsi="宋体"/>
          <w:bCs/>
          <w:position w:val="-6"/>
          <w:sz w:val="24"/>
        </w:rPr>
        <w:object w:dxaOrig="740" w:dyaOrig="320">
          <v:shape id="_x0000_i1147" type="#_x0000_t75" style="width:36.75pt;height:15.75pt" o:ole="">
            <v:imagedata r:id="rId235" o:title=""/>
          </v:shape>
          <o:OLEObject Type="Embed" ProgID="Equation.3" ShapeID="_x0000_i1147" DrawAspect="Content" ObjectID="_1550061415" r:id="rId245"/>
        </w:object>
      </w:r>
      <w:r w:rsidRPr="00481206">
        <w:rPr>
          <w:rFonts w:ascii="宋体" w:hAnsi="宋体" w:hint="eastAsia"/>
          <w:bCs/>
          <w:sz w:val="24"/>
        </w:rPr>
        <w:t>，同时付出现金</w:t>
      </w:r>
      <w:r w:rsidRPr="00481206">
        <w:rPr>
          <w:rFonts w:ascii="宋体" w:hAnsi="宋体"/>
          <w:bCs/>
          <w:position w:val="-4"/>
          <w:sz w:val="24"/>
        </w:rPr>
        <w:object w:dxaOrig="260" w:dyaOrig="260">
          <v:shape id="_x0000_i1148" type="#_x0000_t75" style="width:12.75pt;height:12.75pt" o:ole="">
            <v:imagedata r:id="rId226" o:title=""/>
          </v:shape>
          <o:OLEObject Type="Embed" ProgID="Equation.3" ShapeID="_x0000_i1148" DrawAspect="Content" ObjectID="_1550061416" r:id="rId246"/>
        </w:object>
      </w:r>
      <w:r w:rsidRPr="00481206">
        <w:rPr>
          <w:rFonts w:ascii="宋体" w:hAnsi="宋体" w:hint="eastAsia"/>
          <w:bCs/>
          <w:sz w:val="24"/>
        </w:rPr>
        <w:t>换的一单位标的证券，用于归还标的证券的原所有者，并把该标的证券在</w:t>
      </w:r>
      <w:r w:rsidRPr="00481206">
        <w:rPr>
          <w:rFonts w:ascii="宋体" w:hAnsi="宋体"/>
          <w:bCs/>
          <w:position w:val="-6"/>
          <w:sz w:val="24"/>
        </w:rPr>
        <w:object w:dxaOrig="520" w:dyaOrig="279">
          <v:shape id="_x0000_i1149" type="#_x0000_t75" style="width:26.25pt;height:14.25pt" o:ole="">
            <v:imagedata r:id="rId228" o:title=""/>
          </v:shape>
          <o:OLEObject Type="Embed" ProgID="Equation.3" ShapeID="_x0000_i1149" DrawAspect="Content" ObjectID="_1550061417" r:id="rId247"/>
        </w:object>
      </w:r>
      <w:r w:rsidRPr="00481206">
        <w:rPr>
          <w:rFonts w:ascii="宋体" w:hAnsi="宋体" w:hint="eastAsia"/>
          <w:bCs/>
          <w:sz w:val="24"/>
        </w:rPr>
        <w:t>期间的现金收益的终值</w:t>
      </w:r>
      <w:r w:rsidRPr="00481206">
        <w:rPr>
          <w:rFonts w:ascii="宋体" w:hAnsi="宋体"/>
          <w:bCs/>
          <w:position w:val="-6"/>
          <w:sz w:val="24"/>
        </w:rPr>
        <w:object w:dxaOrig="700" w:dyaOrig="320">
          <v:shape id="_x0000_i1150" type="#_x0000_t75" style="width:35.25pt;height:15.75pt" o:ole="">
            <v:imagedata r:id="rId248" o:title=""/>
          </v:shape>
          <o:OLEObject Type="Embed" ProgID="Equation.3" ShapeID="_x0000_i1150" DrawAspect="Content" ObjectID="_1550061418" r:id="rId249"/>
        </w:object>
      </w:r>
      <w:r w:rsidRPr="00481206">
        <w:rPr>
          <w:rFonts w:ascii="宋体" w:hAnsi="宋体" w:hint="eastAsia"/>
          <w:bCs/>
          <w:sz w:val="24"/>
        </w:rPr>
        <w:t>同时归还原所有者，这样，该套利者在T时刻刻实现无风险利润</w:t>
      </w:r>
      <w:r w:rsidRPr="00481206">
        <w:rPr>
          <w:rFonts w:ascii="宋体" w:hAnsi="宋体"/>
          <w:bCs/>
          <w:position w:val="-10"/>
          <w:sz w:val="24"/>
        </w:rPr>
        <w:object w:dxaOrig="1700" w:dyaOrig="360">
          <v:shape id="_x0000_i1151" type="#_x0000_t75" style="width:84.75pt;height:18pt" o:ole="">
            <v:imagedata r:id="rId250" o:title=""/>
          </v:shape>
          <o:OLEObject Type="Embed" ProgID="Equation.3" ShapeID="_x0000_i1151" DrawAspect="Content" ObjectID="_1550061419" r:id="rId251"/>
        </w:object>
      </w:r>
      <w:r w:rsidRPr="00481206">
        <w:rPr>
          <w:rFonts w:ascii="宋体" w:hAnsi="宋体" w:hint="eastAsia"/>
          <w:bCs/>
          <w:sz w:val="24"/>
        </w:rPr>
        <w:t>。</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由此可见，套利者可以进行不断的无风险套利行为，从而实现交割价格和标的资产现货价格终值差异的消失</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例如：假设黄金的现价为每盎司450美元，其存储成本为每年每盎司2美元，在年底支付，无风险年利率为7%，则1年期黄金远期价格为：</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10"/>
          <w:sz w:val="24"/>
        </w:rPr>
        <w:object w:dxaOrig="2079" w:dyaOrig="360">
          <v:shape id="_x0000_i1152" type="#_x0000_t75" style="width:104.25pt;height:18pt" o:ole="">
            <v:imagedata r:id="rId252" o:title=""/>
          </v:shape>
          <o:OLEObject Type="Embed" ProgID="Equation.3" ShapeID="_x0000_i1152" DrawAspect="Content" ObjectID="_1550061420" r:id="rId253"/>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其中，</w:t>
      </w:r>
      <w:r w:rsidRPr="00481206">
        <w:rPr>
          <w:rFonts w:ascii="宋体" w:hAnsi="宋体"/>
          <w:bCs/>
          <w:position w:val="-6"/>
          <w:sz w:val="24"/>
        </w:rPr>
        <w:object w:dxaOrig="2100" w:dyaOrig="320">
          <v:shape id="_x0000_i1153" type="#_x0000_t75" style="width:105pt;height:15.75pt" o:ole="">
            <v:imagedata r:id="rId254" o:title=""/>
          </v:shape>
          <o:OLEObject Type="Embed" ProgID="Equation.3" ShapeID="_x0000_i1153" DrawAspect="Content" ObjectID="_1550061421" r:id="rId255"/>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故，</w:t>
      </w:r>
      <w:r w:rsidRPr="00481206">
        <w:rPr>
          <w:rFonts w:ascii="宋体" w:hAnsi="宋体"/>
          <w:bCs/>
          <w:position w:val="-10"/>
          <w:sz w:val="24"/>
        </w:rPr>
        <w:object w:dxaOrig="3180" w:dyaOrig="360">
          <v:shape id="_x0000_i1154" type="#_x0000_t75" style="width:159pt;height:18pt" o:ole="">
            <v:imagedata r:id="rId256" o:title=""/>
          </v:shape>
          <o:OLEObject Type="Embed" ProgID="Equation.3" ShapeID="_x0000_i1154" DrawAspect="Content" ObjectID="_1550061422" r:id="rId257"/>
        </w:object>
      </w:r>
      <w:r w:rsidRPr="00481206">
        <w:rPr>
          <w:rFonts w:ascii="宋体" w:hAnsi="宋体" w:hint="eastAsia"/>
          <w:bCs/>
          <w:sz w:val="24"/>
        </w:rPr>
        <w:t>(美元/盎司)</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六、支付已知收益率资产远期合约的定价</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支付已知收益率的标的资产是指在远期合约到期前将产生与该资产现货价格成一定比率的收益的资产。货币就是这类资产的典型代表，其收益率就是该货币发行国的无风险利率，因此利率远期和外汇远期就可看做是支付已知收益率资产的远期合约。股票指数也可看作是支付已知收益率的资产，因为股票指数的整体红利率是可以大致预测的。</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构建如下组合：</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组合A：一份远期合约多头（该远期合约规定在到期日可按交割价格K购买一单位标的资产）加上一笔数额为</w:t>
      </w:r>
      <w:r w:rsidRPr="00481206">
        <w:rPr>
          <w:rFonts w:ascii="宋体" w:hAnsi="宋体"/>
          <w:bCs/>
          <w:position w:val="-6"/>
          <w:sz w:val="24"/>
        </w:rPr>
        <w:object w:dxaOrig="859" w:dyaOrig="320">
          <v:shape id="_x0000_i1155" type="#_x0000_t75" style="width:42.75pt;height:15.75pt" o:ole="">
            <v:imagedata r:id="rId158" o:title=""/>
          </v:shape>
          <o:OLEObject Type="Embed" ProgID="Equation.3" ShapeID="_x0000_i1155" DrawAspect="Content" ObjectID="_1550061423" r:id="rId258"/>
        </w:object>
      </w:r>
      <w:r w:rsidRPr="00481206">
        <w:rPr>
          <w:rFonts w:ascii="宋体" w:hAnsi="宋体" w:hint="eastAsia"/>
          <w:bCs/>
          <w:sz w:val="24"/>
        </w:rPr>
        <w:t>的现金；</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组合B：</w:t>
      </w:r>
      <w:r w:rsidRPr="00481206">
        <w:rPr>
          <w:rFonts w:ascii="宋体" w:hAnsi="宋体"/>
          <w:bCs/>
          <w:position w:val="-6"/>
          <w:sz w:val="24"/>
        </w:rPr>
        <w:object w:dxaOrig="700" w:dyaOrig="320">
          <v:shape id="_x0000_i1156" type="#_x0000_t75" style="width:35.25pt;height:15.75pt" o:ole="">
            <v:imagedata r:id="rId259" o:title=""/>
          </v:shape>
          <o:OLEObject Type="Embed" ProgID="Equation.3" ShapeID="_x0000_i1156" DrawAspect="Content" ObjectID="_1550061424" r:id="rId260"/>
        </w:object>
      </w:r>
      <w:r w:rsidRPr="00481206">
        <w:rPr>
          <w:rFonts w:ascii="宋体" w:hAnsi="宋体" w:hint="eastAsia"/>
          <w:bCs/>
          <w:sz w:val="24"/>
        </w:rPr>
        <w:t>单位证券并且所有收入都再投资于该证券，其中q为该资产按连续复利计算的已知收益率；</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从之前的分析可以看出，组合A在T时刻的价值等于一单位标的证券，组合B拥有的证券数量则随着红利的增加而增加，在T时刻，正好拥有一单位标的证券。因此在t时刻两者的价值也相等，即：</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10"/>
          <w:sz w:val="24"/>
        </w:rPr>
        <w:object w:dxaOrig="2320" w:dyaOrig="360">
          <v:shape id="_x0000_i1157" type="#_x0000_t75" style="width:116.25pt;height:18pt" o:ole="">
            <v:imagedata r:id="rId261" o:title=""/>
          </v:shape>
          <o:OLEObject Type="Embed" ProgID="Equation.3" ShapeID="_x0000_i1157" DrawAspect="Content" ObjectID="_1550061425" r:id="rId262"/>
        </w:object>
      </w:r>
    </w:p>
    <w:p w:rsidR="00481206" w:rsidRPr="00481206" w:rsidRDefault="00481206" w:rsidP="00481206">
      <w:pPr>
        <w:spacing w:line="360" w:lineRule="auto"/>
        <w:ind w:firstLine="480"/>
        <w:rPr>
          <w:rFonts w:ascii="宋体" w:hAnsi="宋体"/>
          <w:bCs/>
          <w:sz w:val="24"/>
        </w:rPr>
      </w:pPr>
      <w:r w:rsidRPr="00481206">
        <w:rPr>
          <w:rFonts w:ascii="宋体" w:hAnsi="宋体"/>
          <w:bCs/>
          <w:position w:val="-10"/>
          <w:sz w:val="24"/>
        </w:rPr>
        <w:object w:dxaOrig="2299" w:dyaOrig="360">
          <v:shape id="_x0000_i1158" type="#_x0000_t75" style="width:114.75pt;height:18pt" o:ole="">
            <v:imagedata r:id="rId263" o:title=""/>
          </v:shape>
          <o:OLEObject Type="Embed" ProgID="Equation.3" ShapeID="_x0000_i1158" DrawAspect="Content" ObjectID="_1550061426" r:id="rId264"/>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根据远期价格的定义，支付已知收益率资产远期合约的价格为：</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6"/>
          <w:sz w:val="24"/>
        </w:rPr>
        <w:object w:dxaOrig="1440" w:dyaOrig="320">
          <v:shape id="_x0000_i1159" type="#_x0000_t75" style="width:1in;height:15.75pt" o:ole="">
            <v:imagedata r:id="rId265" o:title=""/>
          </v:shape>
          <o:OLEObject Type="Embed" ProgID="Equation.3" ShapeID="_x0000_i1159" DrawAspect="Content" ObjectID="_1550061427" r:id="rId266"/>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例如：2007年9月20日，美元3月期无风险年利率为3.77%，标准普尔500指数预期红利收益率为1.66%。当标准普尔500指数为1518.75点时，2007年12月到期的标准普尔股指500指数期指的相应的理论价格为多少？</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由于标准普尔500指数期指总在到期月的第三个星期五到期，故此2007年9月20日距期货到期时间为3个月，因此该期货的理论价格为：</w:t>
      </w:r>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w:t>
      </w:r>
      <w:r w:rsidRPr="00481206">
        <w:rPr>
          <w:rFonts w:ascii="宋体" w:hAnsi="宋体"/>
          <w:bCs/>
          <w:position w:val="-6"/>
          <w:sz w:val="24"/>
        </w:rPr>
        <w:object w:dxaOrig="5060" w:dyaOrig="320">
          <v:shape id="_x0000_i1160" type="#_x0000_t75" style="width:252.75pt;height:15.75pt" o:ole="">
            <v:imagedata r:id="rId267" o:title=""/>
          </v:shape>
          <o:OLEObject Type="Embed" ProgID="Equation.3" ShapeID="_x0000_i1160" DrawAspect="Content" ObjectID="_1550061428" r:id="rId268"/>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七、期货价格和现货价格的关系</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期货价格和现货价格的关系可用基差来描述，所谓基差，即现货价格和期货价格之差。即：</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基差=现货价格—期货价格</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基差可能为正值，也可能为负值。当现货价格的增长大于期货价格的增长时，基差也随之增加，称为基差增大，当期货价格的增长大于现货价格的增长时，称为基差减少。但在期货合约到期日，基差应为零。这种现象称为期货价格收敛于标的资产的现货价格。</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期货价格收敛于标的资产现货价格是由套利行为决定的。假定交割期间期货价格高于标的资产的现货价格，套利者就可以买入标的资产，同时卖出期货合约并进行交割来获利，从而促使现货价格上升，期货价格下降。相反，如果交割期间现货价格高于期货价格，那么打算买入标的资产的人就会发现，买入期货合约等待交割比直接买入现货合算，从而促使期货价格上升。</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八、持有成本和金融期货的理论价格</w:t>
      </w:r>
    </w:p>
    <w:p w:rsidR="00481206" w:rsidRPr="00481206" w:rsidRDefault="00481206" w:rsidP="00481206">
      <w:pPr>
        <w:spacing w:line="360" w:lineRule="auto"/>
        <w:ind w:firstLineChars="150" w:firstLine="360"/>
        <w:outlineLvl w:val="0"/>
        <w:rPr>
          <w:rFonts w:ascii="宋体" w:hAnsi="宋体"/>
          <w:bCs/>
          <w:sz w:val="24"/>
        </w:rPr>
      </w:pPr>
      <w:bookmarkStart w:id="525" w:name="_Toc444350272"/>
      <w:bookmarkStart w:id="526" w:name="_Toc474271747"/>
      <w:r w:rsidRPr="00481206">
        <w:rPr>
          <w:rFonts w:ascii="宋体" w:hAnsi="宋体" w:hint="eastAsia"/>
          <w:bCs/>
          <w:sz w:val="24"/>
        </w:rPr>
        <w:t>（一）理论基差和价值基差</w:t>
      </w:r>
      <w:bookmarkEnd w:id="525"/>
      <w:bookmarkEnd w:id="526"/>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理论基差：金融工具的现货价格与金融期货理论价格之间的差额；</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价值基差：金融期货的市场价格与金融期货的理论价格之间的差额；</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一般来讲，价值基差取决于人们对金融期货价格的高估或低估；而理论基差取决于市场中的持有成本。在市场处于均衡的情况下，价值基差必然为零，而理论基差应等于持有成本，因为市场处于均衡的情况下不存在任何的套利机会。</w:t>
      </w:r>
    </w:p>
    <w:p w:rsidR="00481206" w:rsidRPr="00481206" w:rsidRDefault="00481206" w:rsidP="00481206">
      <w:pPr>
        <w:spacing w:line="360" w:lineRule="auto"/>
        <w:ind w:firstLineChars="147" w:firstLine="353"/>
        <w:outlineLvl w:val="0"/>
        <w:rPr>
          <w:rFonts w:ascii="宋体" w:hAnsi="宋体"/>
          <w:bCs/>
          <w:sz w:val="24"/>
        </w:rPr>
      </w:pPr>
      <w:bookmarkStart w:id="527" w:name="_Toc444350273"/>
      <w:bookmarkStart w:id="528" w:name="_Toc474271748"/>
      <w:r w:rsidRPr="00481206">
        <w:rPr>
          <w:rFonts w:ascii="宋体" w:hAnsi="宋体" w:hint="eastAsia"/>
          <w:bCs/>
          <w:sz w:val="24"/>
        </w:rPr>
        <w:t>（二）持有成本</w:t>
      </w:r>
      <w:bookmarkEnd w:id="527"/>
      <w:bookmarkEnd w:id="528"/>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lastRenderedPageBreak/>
        <w:t xml:space="preserve"> 所谓持有成本，就是人们因持有现货金融工具而取得的收益减去因购买并持有现货金融工具而付出的融资成本后所得的差额。一般来说，人们持有现货金融工具，可取的相应的收益（比如持有股票取得红利；持有债券取得利息等），但为了购买现货金融工具，人们又必须付出相应的融资成本。</w:t>
      </w:r>
    </w:p>
    <w:p w:rsidR="00481206" w:rsidRPr="00481206" w:rsidRDefault="00481206" w:rsidP="00481206">
      <w:pPr>
        <w:spacing w:line="360" w:lineRule="auto"/>
        <w:ind w:firstLineChars="197" w:firstLine="473"/>
        <w:rPr>
          <w:rFonts w:ascii="宋体" w:hAnsi="宋体"/>
          <w:bCs/>
          <w:sz w:val="24"/>
        </w:rPr>
      </w:pPr>
      <w:r w:rsidRPr="00481206">
        <w:rPr>
          <w:rFonts w:ascii="宋体" w:hAnsi="宋体" w:hint="eastAsia"/>
          <w:bCs/>
          <w:sz w:val="24"/>
        </w:rPr>
        <w:t>我们以C表示持有成本，以S表示现货金融工具的价格，以y代表人们持有现货金融工具而取得的收益率（以年率表示），以r表示人们为买进并持有现货金融工具而支付的融资利率（以年率表示），以t表示持有现货金融工具的天数（也可表示为金融期货合约距到期日的天数），则：</w:t>
      </w:r>
    </w:p>
    <w:p w:rsidR="00481206" w:rsidRPr="00481206" w:rsidRDefault="00481206" w:rsidP="00481206">
      <w:pPr>
        <w:spacing w:line="360" w:lineRule="auto"/>
        <w:ind w:firstLineChars="197" w:firstLine="473"/>
        <w:rPr>
          <w:rFonts w:ascii="宋体" w:hAnsi="宋体"/>
          <w:bCs/>
          <w:sz w:val="24"/>
        </w:rPr>
      </w:pPr>
      <w:r w:rsidRPr="00481206">
        <w:rPr>
          <w:rFonts w:ascii="宋体" w:hAnsi="宋体"/>
          <w:bCs/>
          <w:position w:val="-24"/>
          <w:sz w:val="24"/>
        </w:rPr>
        <w:object w:dxaOrig="1400" w:dyaOrig="620">
          <v:shape id="_x0000_i1161" type="#_x0000_t75" style="width:69.75pt;height:30.75pt" o:ole="">
            <v:imagedata r:id="rId269" o:title=""/>
          </v:shape>
          <o:OLEObject Type="Embed" ProgID="Equation.3" ShapeID="_x0000_i1161" DrawAspect="Content" ObjectID="_1550061429" r:id="rId270"/>
        </w:object>
      </w:r>
    </w:p>
    <w:p w:rsidR="00481206" w:rsidRPr="00481206" w:rsidRDefault="00481206" w:rsidP="00481206">
      <w:pPr>
        <w:spacing w:line="360" w:lineRule="auto"/>
        <w:ind w:firstLineChars="197" w:firstLine="473"/>
        <w:rPr>
          <w:rFonts w:ascii="宋体" w:hAnsi="宋体"/>
          <w:bCs/>
          <w:sz w:val="24"/>
        </w:rPr>
      </w:pPr>
      <w:r w:rsidRPr="00481206">
        <w:rPr>
          <w:rFonts w:ascii="宋体" w:hAnsi="宋体" w:hint="eastAsia"/>
          <w:bCs/>
          <w:sz w:val="24"/>
        </w:rPr>
        <w:t>可见，当y高于r时，C为正数，否则为负数。若C为正数，说明人们现在持有现货金融工具期间内所得的收益大于所付出的融资成本；若C为负数，则说明人们在持有现货金融工具期间所得的收益还不足以抵补其支付的融资成本。从公式的形式来看，正的持有成本就是一种收益，而只有负的持有成本才是真正的持有成本。</w:t>
      </w:r>
    </w:p>
    <w:p w:rsidR="00481206" w:rsidRPr="00481206" w:rsidRDefault="00481206" w:rsidP="00481206">
      <w:pPr>
        <w:spacing w:line="360" w:lineRule="auto"/>
        <w:ind w:firstLineChars="150" w:firstLine="360"/>
        <w:outlineLvl w:val="0"/>
        <w:rPr>
          <w:rFonts w:ascii="宋体" w:hAnsi="宋体"/>
          <w:bCs/>
          <w:sz w:val="24"/>
        </w:rPr>
      </w:pPr>
      <w:bookmarkStart w:id="529" w:name="_Toc444350274"/>
      <w:bookmarkStart w:id="530" w:name="_Toc474271749"/>
      <w:r w:rsidRPr="00481206">
        <w:rPr>
          <w:rFonts w:ascii="宋体" w:hAnsi="宋体" w:hint="eastAsia"/>
          <w:bCs/>
          <w:sz w:val="24"/>
        </w:rPr>
        <w:t>（三）持有成本和金融期货理论价格的关系</w:t>
      </w:r>
      <w:bookmarkEnd w:id="529"/>
      <w:bookmarkEnd w:id="530"/>
    </w:p>
    <w:p w:rsidR="00481206" w:rsidRPr="00481206" w:rsidRDefault="00481206" w:rsidP="00481206">
      <w:pPr>
        <w:spacing w:line="360" w:lineRule="auto"/>
        <w:ind w:firstLineChars="199" w:firstLine="478"/>
        <w:rPr>
          <w:rFonts w:ascii="宋体" w:hAnsi="宋体"/>
          <w:bCs/>
          <w:sz w:val="24"/>
        </w:rPr>
      </w:pPr>
      <w:r w:rsidRPr="00481206">
        <w:rPr>
          <w:rFonts w:ascii="宋体" w:hAnsi="宋体" w:hint="eastAsia"/>
          <w:bCs/>
          <w:sz w:val="24"/>
        </w:rPr>
        <w:t>设S为金融现货价格，F为金融期货价格，基差为B，则：</w:t>
      </w:r>
    </w:p>
    <w:p w:rsidR="00481206" w:rsidRPr="00481206" w:rsidRDefault="00481206" w:rsidP="00481206">
      <w:pPr>
        <w:spacing w:line="360" w:lineRule="auto"/>
        <w:ind w:firstLineChars="199" w:firstLine="478"/>
        <w:outlineLvl w:val="0"/>
        <w:rPr>
          <w:rFonts w:ascii="宋体" w:hAnsi="宋体"/>
          <w:bCs/>
          <w:sz w:val="24"/>
        </w:rPr>
      </w:pPr>
      <w:bookmarkStart w:id="531" w:name="_Toc444350275"/>
      <w:bookmarkStart w:id="532" w:name="_Toc474271750"/>
      <w:r w:rsidRPr="00481206">
        <w:rPr>
          <w:rFonts w:ascii="宋体" w:hAnsi="宋体" w:hint="eastAsia"/>
          <w:bCs/>
          <w:sz w:val="24"/>
        </w:rPr>
        <w:t>B=S-F</w:t>
      </w:r>
      <w:bookmarkEnd w:id="531"/>
      <w:bookmarkEnd w:id="532"/>
    </w:p>
    <w:p w:rsidR="00481206" w:rsidRPr="00481206" w:rsidRDefault="00481206" w:rsidP="00481206">
      <w:pPr>
        <w:spacing w:line="360" w:lineRule="auto"/>
        <w:ind w:firstLineChars="199" w:firstLine="478"/>
        <w:rPr>
          <w:rFonts w:ascii="宋体" w:hAnsi="宋体"/>
          <w:bCs/>
          <w:sz w:val="24"/>
        </w:rPr>
      </w:pPr>
      <w:r w:rsidRPr="00481206">
        <w:rPr>
          <w:rFonts w:ascii="宋体" w:hAnsi="宋体" w:hint="eastAsia"/>
          <w:bCs/>
          <w:sz w:val="24"/>
        </w:rPr>
        <w:t>在市场均衡的情况下，价值基差为零，金融现货和金融期货之间没有任何套利机会，基差正好等于持有成本，即：</w:t>
      </w:r>
    </w:p>
    <w:p w:rsidR="00481206" w:rsidRPr="00481206" w:rsidRDefault="00481206" w:rsidP="00481206">
      <w:pPr>
        <w:spacing w:line="360" w:lineRule="auto"/>
        <w:ind w:firstLineChars="199" w:firstLine="478"/>
        <w:outlineLvl w:val="0"/>
        <w:rPr>
          <w:rFonts w:ascii="宋体" w:hAnsi="宋体"/>
          <w:bCs/>
          <w:sz w:val="24"/>
        </w:rPr>
      </w:pPr>
      <w:bookmarkStart w:id="533" w:name="_Toc444350276"/>
      <w:bookmarkStart w:id="534" w:name="_Toc474271751"/>
      <w:r w:rsidRPr="00481206">
        <w:rPr>
          <w:rFonts w:ascii="宋体" w:hAnsi="宋体" w:hint="eastAsia"/>
          <w:bCs/>
          <w:sz w:val="24"/>
        </w:rPr>
        <w:t>B=C</w:t>
      </w:r>
      <w:bookmarkEnd w:id="533"/>
      <w:bookmarkEnd w:id="534"/>
    </w:p>
    <w:p w:rsidR="00481206" w:rsidRPr="00481206" w:rsidRDefault="00481206" w:rsidP="00481206">
      <w:pPr>
        <w:spacing w:line="360" w:lineRule="auto"/>
        <w:ind w:firstLineChars="199" w:firstLine="478"/>
        <w:rPr>
          <w:rFonts w:ascii="宋体" w:hAnsi="宋体"/>
          <w:bCs/>
          <w:sz w:val="24"/>
        </w:rPr>
      </w:pPr>
      <w:r w:rsidRPr="00481206">
        <w:rPr>
          <w:rFonts w:ascii="宋体" w:hAnsi="宋体"/>
          <w:bCs/>
          <w:position w:val="-24"/>
          <w:sz w:val="24"/>
        </w:rPr>
        <w:object w:dxaOrig="1780" w:dyaOrig="620">
          <v:shape id="_x0000_i1162" type="#_x0000_t75" style="width:89.25pt;height:30.75pt" o:ole="">
            <v:imagedata r:id="rId271" o:title=""/>
          </v:shape>
          <o:OLEObject Type="Embed" ProgID="Equation.3" ShapeID="_x0000_i1162" DrawAspect="Content" ObjectID="_1550061430" r:id="rId272"/>
        </w:object>
      </w:r>
    </w:p>
    <w:p w:rsidR="00481206" w:rsidRPr="00481206" w:rsidRDefault="00481206" w:rsidP="00481206">
      <w:pPr>
        <w:spacing w:line="360" w:lineRule="auto"/>
        <w:ind w:firstLineChars="199" w:firstLine="478"/>
        <w:rPr>
          <w:rFonts w:ascii="宋体" w:hAnsi="宋体"/>
          <w:bCs/>
          <w:sz w:val="24"/>
        </w:rPr>
      </w:pPr>
      <w:r w:rsidRPr="00481206">
        <w:rPr>
          <w:rFonts w:ascii="宋体" w:hAnsi="宋体"/>
          <w:bCs/>
          <w:position w:val="-24"/>
          <w:sz w:val="24"/>
        </w:rPr>
        <w:object w:dxaOrig="1860" w:dyaOrig="620">
          <v:shape id="_x0000_i1163" type="#_x0000_t75" style="width:93pt;height:30.75pt" o:ole="">
            <v:imagedata r:id="rId273" o:title=""/>
          </v:shape>
          <o:OLEObject Type="Embed" ProgID="Equation.3" ShapeID="_x0000_i1163" DrawAspect="Content" ObjectID="_1550061431" r:id="rId274"/>
        </w:object>
      </w:r>
    </w:p>
    <w:p w:rsidR="00481206" w:rsidRPr="00481206" w:rsidRDefault="00481206" w:rsidP="00481206">
      <w:pPr>
        <w:spacing w:line="360" w:lineRule="auto"/>
        <w:ind w:firstLineChars="199" w:firstLine="478"/>
        <w:rPr>
          <w:rFonts w:ascii="宋体" w:hAnsi="宋体"/>
          <w:bCs/>
          <w:sz w:val="24"/>
        </w:rPr>
      </w:pPr>
      <w:r w:rsidRPr="00481206">
        <w:rPr>
          <w:rFonts w:ascii="宋体" w:hAnsi="宋体" w:hint="eastAsia"/>
          <w:bCs/>
          <w:sz w:val="24"/>
        </w:rPr>
        <w:t>因此，金融期货的理论价格等于金融现货价格加上合约到期前持有标的资产的融资净成本。由于融资净成本恰为上述持有成本的相反数，所以当持有成本为正值时，融资净成本为负值，因而金融期货的理论价格必低于金融现货价格；反之，当持有成本为负值时，融资净成本为正值，因而金融期货的理论价格必高于金融现货价格，当融资净成本越高，或到期时间越长，则金融期货的理论价格越高（见教材70页图3-1）。</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九、套利和金融期货的理论价格</w:t>
      </w:r>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（一）现货——持有套利</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所谓“现货——持有套利”，是指投资者在买进现货金融工具的同时，卖出该金融</w:t>
      </w:r>
      <w:r w:rsidRPr="00481206">
        <w:rPr>
          <w:rFonts w:ascii="宋体" w:hAnsi="宋体" w:hint="eastAsia"/>
          <w:bCs/>
          <w:sz w:val="24"/>
        </w:rPr>
        <w:lastRenderedPageBreak/>
        <w:t>工具为标的物的期货合约进行套利，当期货合约到期时，投资者可以其持有的现货金融工具进行交割。</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 xml:space="preserve">当借入资金所支付的融资成本小于现货金融工具所产生的收益时，即持有成本为正值时，理论期货价格必低于现货价格，并等于现货价格和持有成本之差。    </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这时，如果实际期货价格恰恰等于理论期货价格，则套利的机会并不存在。但如果实际期货价格高于理论期货价格，套利者将从事现货——持有套利，买进并持有金融现货，同时卖出金融期货，使实际金融期货价格趋近于理论期货价格，这样现货价格将上升，期货合约的价格将下跌，因此基差将扩大。当基差等于持有成本时，无风险的套利机会将消失，现货——持有套利也就会停止。</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如果实际期货价格小于理论期货价格时，投资者就买进期货合约，同时卖出现货金融工具，并将所得的资金用于短期贷款，这种套利方式与上述相反，也叫做“反向的现货——持有套利”，这种反向的套利将提高期货价格，降低现货价格，从而使基差缩小。当基差等于持有成本时，无风险的套利机会将消失。</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一般来讲：</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当实际期货价格大于理论期货价格时，投资者的套利策略是买进金融现货，同时卖出金融期货；</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当实际期货价格小于理论期货价格时，投资者的套利策略是卖出金融现货，同时买进金融期货。</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十、基差收敛和金融期货价格的决定</w:t>
      </w:r>
    </w:p>
    <w:p w:rsidR="00481206" w:rsidRPr="00481206" w:rsidRDefault="00481206" w:rsidP="00481206">
      <w:pPr>
        <w:spacing w:line="360" w:lineRule="auto"/>
        <w:outlineLvl w:val="0"/>
        <w:rPr>
          <w:rFonts w:ascii="宋体" w:hAnsi="宋体"/>
          <w:bCs/>
          <w:sz w:val="24"/>
        </w:rPr>
      </w:pPr>
      <w:r w:rsidRPr="00481206">
        <w:rPr>
          <w:rFonts w:ascii="宋体" w:hAnsi="宋体" w:hint="eastAsia"/>
          <w:bCs/>
          <w:sz w:val="24"/>
        </w:rPr>
        <w:t xml:space="preserve">   </w:t>
      </w:r>
      <w:bookmarkStart w:id="535" w:name="_Toc444350277"/>
      <w:bookmarkStart w:id="536" w:name="_Toc474271752"/>
      <w:r w:rsidRPr="00481206">
        <w:rPr>
          <w:rFonts w:ascii="宋体" w:hAnsi="宋体" w:hint="eastAsia"/>
          <w:bCs/>
          <w:sz w:val="24"/>
        </w:rPr>
        <w:t>（一）金融期货的决定因素</w:t>
      </w:r>
      <w:bookmarkEnd w:id="535"/>
      <w:bookmarkEnd w:id="536"/>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一般取决于三个因素：标的资产的现货价格；持有成本及其决定的基差；期货合约的剩余期限。</w:t>
      </w:r>
    </w:p>
    <w:p w:rsidR="00481206" w:rsidRPr="00481206" w:rsidRDefault="00481206" w:rsidP="00481206">
      <w:pPr>
        <w:spacing w:line="360" w:lineRule="auto"/>
        <w:ind w:firstLineChars="150" w:firstLine="360"/>
        <w:outlineLvl w:val="0"/>
        <w:rPr>
          <w:rFonts w:ascii="宋体" w:hAnsi="宋体"/>
          <w:bCs/>
          <w:sz w:val="24"/>
        </w:rPr>
      </w:pPr>
      <w:bookmarkStart w:id="537" w:name="_Toc444350278"/>
      <w:bookmarkStart w:id="538" w:name="_Toc474271753"/>
      <w:r w:rsidRPr="00481206">
        <w:rPr>
          <w:rFonts w:ascii="宋体" w:hAnsi="宋体" w:hint="eastAsia"/>
          <w:bCs/>
          <w:sz w:val="24"/>
        </w:rPr>
        <w:t>（二）基差收敛</w:t>
      </w:r>
      <w:bookmarkEnd w:id="537"/>
      <w:bookmarkEnd w:id="538"/>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基差收敛的就是指在到期日时，基差将趋近于零，期货价格将等于现货价格。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般来讲，在市场均衡的状态下，基差等于持有成本，而持有成本取决于两个因素，即购买并持有现货金融工具而支付的融资成本和因持有现货金融商品而取得的收益。在到期时，随着成本和收益的支付，持有成本将不复存在，因此基差自然为零。</w:t>
      </w:r>
    </w:p>
    <w:p w:rsidR="00481206" w:rsidRPr="00481206" w:rsidRDefault="00481206" w:rsidP="00481206">
      <w:pPr>
        <w:spacing w:line="360" w:lineRule="auto"/>
        <w:ind w:firstLineChars="150" w:firstLine="360"/>
        <w:outlineLvl w:val="0"/>
        <w:rPr>
          <w:rFonts w:ascii="宋体" w:hAnsi="宋体"/>
          <w:bCs/>
          <w:sz w:val="24"/>
        </w:rPr>
      </w:pPr>
      <w:bookmarkStart w:id="539" w:name="_Toc444350279"/>
      <w:bookmarkStart w:id="540" w:name="_Toc474271754"/>
      <w:r w:rsidRPr="00481206">
        <w:rPr>
          <w:rFonts w:ascii="宋体" w:hAnsi="宋体" w:hint="eastAsia"/>
          <w:bCs/>
          <w:sz w:val="24"/>
        </w:rPr>
        <w:t>（三）凯恩斯关于期货价格的论述</w:t>
      </w:r>
      <w:bookmarkEnd w:id="539"/>
      <w:bookmarkEnd w:id="540"/>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根据基差收敛的特征，金融远期价格或期货价格应该等于市场预期的，未来某日期（一般是指合约的到期日）的现货价格，即：</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bCs/>
          <w:position w:val="-12"/>
          <w:sz w:val="24"/>
        </w:rPr>
        <w:object w:dxaOrig="1180" w:dyaOrig="360">
          <v:shape id="_x0000_i1164" type="#_x0000_t75" style="width:59.25pt;height:18pt" o:ole="">
            <v:imagedata r:id="rId275" o:title=""/>
          </v:shape>
          <o:OLEObject Type="Embed" ProgID="Equation.3" ShapeID="_x0000_i1164" DrawAspect="Content" ObjectID="_1550061432" r:id="rId276"/>
        </w:object>
      </w:r>
    </w:p>
    <w:p w:rsidR="00481206" w:rsidRPr="00481206" w:rsidRDefault="00481206" w:rsidP="00481206">
      <w:pPr>
        <w:spacing w:line="360" w:lineRule="auto"/>
        <w:ind w:firstLineChars="150" w:firstLine="360"/>
        <w:rPr>
          <w:rFonts w:ascii="宋体" w:hAnsi="宋体"/>
          <w:sz w:val="24"/>
        </w:rPr>
      </w:pPr>
      <w:r w:rsidRPr="00481206">
        <w:rPr>
          <w:rFonts w:ascii="宋体" w:hAnsi="宋体"/>
          <w:position w:val="-10"/>
          <w:sz w:val="24"/>
        </w:rPr>
        <w:object w:dxaOrig="660" w:dyaOrig="340">
          <v:shape id="_x0000_i1165" type="#_x0000_t75" style="width:33pt;height:17.25pt" o:ole="">
            <v:imagedata r:id="rId277" o:title=""/>
          </v:shape>
          <o:OLEObject Type="Embed" ProgID="Equation.3" ShapeID="_x0000_i1165" DrawAspect="Content" ObjectID="_1550061433" r:id="rId278"/>
        </w:object>
      </w:r>
      <w:r w:rsidRPr="00481206">
        <w:rPr>
          <w:rFonts w:ascii="宋体" w:hAnsi="宋体" w:hint="eastAsia"/>
          <w:sz w:val="24"/>
        </w:rPr>
        <w:t>对合约到期日现货价格的预期值。如果这个等式成立，市场就处于均衡状态。如果大多数交易商预期到期日的现货价格高于现行的期货价格，那么他们就会买进期货，结果导致期货合约的价格上涨，相反，如果大多数交易商预期未来的现货价格低于现行的期货价格，那么他们就会卖出期货，这样期货的价格将下跌，因此能使市场均衡的唯一价格就是现行的期货价格等于市场预期的到期日的现货价格。</w:t>
      </w:r>
    </w:p>
    <w:p w:rsidR="00481206" w:rsidRPr="00481206" w:rsidRDefault="00481206" w:rsidP="00481206">
      <w:pPr>
        <w:numPr>
          <w:ilvl w:val="0"/>
          <w:numId w:val="4"/>
        </w:numPr>
        <w:tabs>
          <w:tab w:val="left" w:pos="420"/>
        </w:tabs>
        <w:spacing w:line="360" w:lineRule="auto"/>
        <w:ind w:left="0" w:firstLine="420"/>
        <w:outlineLvl w:val="1"/>
        <w:rPr>
          <w:rFonts w:ascii="宋体" w:hAnsi="宋体" w:cs="宋体"/>
          <w:bCs/>
          <w:sz w:val="24"/>
        </w:rPr>
      </w:pPr>
      <w:bookmarkStart w:id="541" w:name="_Toc444350280"/>
      <w:bookmarkStart w:id="542" w:name="_Toc474271755"/>
      <w:r w:rsidRPr="00481206">
        <w:rPr>
          <w:rFonts w:ascii="宋体" w:hAnsi="宋体" w:cs="宋体" w:hint="eastAsia"/>
          <w:bCs/>
          <w:sz w:val="24"/>
        </w:rPr>
        <w:t>第9讲，共90分钟</w:t>
      </w:r>
      <w:bookmarkEnd w:id="541"/>
      <w:bookmarkEnd w:id="542"/>
    </w:p>
    <w:p w:rsidR="00481206" w:rsidRPr="00481206" w:rsidRDefault="00481206" w:rsidP="00481206">
      <w:pPr>
        <w:spacing w:line="360" w:lineRule="auto"/>
        <w:jc w:val="center"/>
        <w:rPr>
          <w:rFonts w:ascii="宋体" w:hAnsi="宋体"/>
          <w:bCs/>
          <w:sz w:val="24"/>
        </w:rPr>
      </w:pPr>
      <w:r w:rsidRPr="00481206">
        <w:rPr>
          <w:rFonts w:ascii="宋体" w:hAnsi="宋体" w:hint="eastAsia"/>
          <w:bCs/>
          <w:sz w:val="24"/>
        </w:rPr>
        <w:t>第二节 货币期货的定价</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在一定的条件下，相同标的资产的远期价格和期货价格是比较接近的。因此为了说明货币期货的定价，我们也有必要说明远期汇率的决定和变动，而在理论界，用以说明远期汇率之决定与变动的主要是利率平价理论。</w:t>
      </w:r>
    </w:p>
    <w:p w:rsidR="00481206" w:rsidRPr="00481206" w:rsidRDefault="00481206" w:rsidP="00481206">
      <w:pPr>
        <w:spacing w:line="360" w:lineRule="auto"/>
        <w:ind w:firstLineChars="150" w:firstLine="360"/>
        <w:outlineLvl w:val="0"/>
        <w:rPr>
          <w:rFonts w:ascii="宋体" w:hAnsi="宋体"/>
          <w:bCs/>
          <w:sz w:val="24"/>
        </w:rPr>
      </w:pPr>
      <w:bookmarkStart w:id="543" w:name="_Toc444350281"/>
      <w:bookmarkStart w:id="544" w:name="_Toc474271756"/>
      <w:r w:rsidRPr="00481206">
        <w:rPr>
          <w:rFonts w:ascii="宋体" w:hAnsi="宋体" w:hint="eastAsia"/>
          <w:bCs/>
          <w:sz w:val="24"/>
        </w:rPr>
        <w:t>（一）利率平价理论</w:t>
      </w:r>
      <w:bookmarkEnd w:id="543"/>
      <w:bookmarkEnd w:id="544"/>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利率平价理论（interest parity theory）是由英国经济学家凯恩斯最初提出的。该理论认为，在正常情况下，两种货币之利率的差异决定了两种货币的即期汇率和远期汇率的差异，且这两种差异大致相同。利率平价理论包括套补的利率平价和非套补的利率平价。</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1.套补的利率平价</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假定资金可以在国际间自由移动，并且不存在任何的交易成本。</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如果我们想把一笔资金投资于一年期的存款，则存在投资于甲国金融市场还是乙国金融市场这两种不同的选择。我们在进行选择时，若其他条件不变，显然是要确定哪种投资方式的收益更高。</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假定甲国为本国金融市场，存在一笔资金为A，本国金融市场中一年期的存款利率为</w:t>
      </w:r>
      <w:r w:rsidRPr="00481206">
        <w:rPr>
          <w:rFonts w:ascii="宋体" w:hAnsi="宋体"/>
          <w:bCs/>
          <w:position w:val="-6"/>
          <w:sz w:val="24"/>
        </w:rPr>
        <w:object w:dxaOrig="139" w:dyaOrig="260">
          <v:shape id="_x0000_i1166" type="#_x0000_t75" style="width:6.75pt;height:12.75pt" o:ole="">
            <v:imagedata r:id="rId279" o:title=""/>
          </v:shape>
          <o:OLEObject Type="Embed" ProgID="Equation.3" ShapeID="_x0000_i1166" DrawAspect="Content" ObjectID="_1550061434" r:id="rId280"/>
        </w:object>
      </w:r>
      <w:r w:rsidRPr="00481206">
        <w:rPr>
          <w:rFonts w:ascii="宋体" w:hAnsi="宋体" w:hint="eastAsia"/>
          <w:bCs/>
          <w:sz w:val="24"/>
        </w:rPr>
        <w:t>，乙国金融市场上同种利率为</w:t>
      </w:r>
      <w:r w:rsidRPr="00481206">
        <w:rPr>
          <w:rFonts w:ascii="宋体" w:hAnsi="宋体"/>
          <w:bCs/>
          <w:position w:val="-6"/>
          <w:sz w:val="24"/>
        </w:rPr>
        <w:object w:dxaOrig="220" w:dyaOrig="320">
          <v:shape id="_x0000_i1167" type="#_x0000_t75" style="width:11.25pt;height:15.75pt" o:ole="">
            <v:imagedata r:id="rId281" o:title=""/>
          </v:shape>
          <o:OLEObject Type="Embed" ProgID="Equation.3" ShapeID="_x0000_i1167" DrawAspect="Content" ObjectID="_1550061435" r:id="rId282"/>
        </w:object>
      </w:r>
      <w:r w:rsidRPr="00481206">
        <w:rPr>
          <w:rFonts w:ascii="宋体" w:hAnsi="宋体" w:hint="eastAsia"/>
          <w:bCs/>
          <w:sz w:val="24"/>
        </w:rPr>
        <w:t>，即期汇率为e（直接标价法）。</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若将这笔资金A投资于本国金融市场，一年末的本息和（货币到期增值）为：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780" w:dyaOrig="320">
          <v:shape id="_x0000_i1168" type="#_x0000_t75" style="width:39pt;height:15.75pt" o:ole="">
            <v:imagedata r:id="rId283" o:title=""/>
          </v:shape>
          <o:OLEObject Type="Embed" ProgID="Equation.3" ShapeID="_x0000_i1168" DrawAspect="Content" ObjectID="_1550061436" r:id="rId284"/>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若将这笔资金A，投资于乙国金融市场，存在如下三个步骤：第一，将本国货币在外汇市场中兑换成乙国货币；第二，用所获得的乙国货币在乙国金融市场中进行投资（假定期限为1年）；第三，在一年末，将以乙国货币为面值的资金在外汇市场中兑换成本</w:t>
      </w:r>
      <w:r w:rsidRPr="00481206">
        <w:rPr>
          <w:rFonts w:ascii="宋体" w:hAnsi="宋体" w:hint="eastAsia"/>
          <w:bCs/>
          <w:sz w:val="24"/>
        </w:rPr>
        <w:lastRenderedPageBreak/>
        <w:t>国货币。</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第一，对于每一单位本国货币，可在外汇市场中兑换</w:t>
      </w:r>
      <w:r w:rsidRPr="00481206">
        <w:rPr>
          <w:rFonts w:ascii="宋体" w:hAnsi="宋体"/>
          <w:bCs/>
          <w:position w:val="-24"/>
          <w:sz w:val="24"/>
        </w:rPr>
        <w:object w:dxaOrig="220" w:dyaOrig="620">
          <v:shape id="_x0000_i1169" type="#_x0000_t75" style="width:11.25pt;height:30.75pt" o:ole="">
            <v:imagedata r:id="rId285" o:title=""/>
          </v:shape>
          <o:OLEObject Type="Embed" ProgID="Equation.3" ShapeID="_x0000_i1169" DrawAspect="Content" ObjectID="_1550061437" r:id="rId286"/>
        </w:object>
      </w:r>
      <w:r w:rsidRPr="00481206">
        <w:rPr>
          <w:rFonts w:ascii="宋体" w:hAnsi="宋体" w:hint="eastAsia"/>
          <w:bCs/>
          <w:sz w:val="24"/>
        </w:rPr>
        <w:t>单位的乙国货币，因此一笔资金A，可兑换</w:t>
      </w:r>
      <w:r w:rsidRPr="00481206">
        <w:rPr>
          <w:rFonts w:ascii="宋体" w:hAnsi="宋体"/>
          <w:bCs/>
          <w:position w:val="-24"/>
          <w:sz w:val="24"/>
        </w:rPr>
        <w:object w:dxaOrig="279" w:dyaOrig="620">
          <v:shape id="_x0000_i1170" type="#_x0000_t75" style="width:14.25pt;height:30.75pt" o:ole="">
            <v:imagedata r:id="rId287" o:title=""/>
          </v:shape>
          <o:OLEObject Type="Embed" ProgID="Equation.3" ShapeID="_x0000_i1170" DrawAspect="Content" ObjectID="_1550061438" r:id="rId288"/>
        </w:object>
      </w:r>
      <w:r w:rsidRPr="00481206">
        <w:rPr>
          <w:rFonts w:ascii="宋体" w:hAnsi="宋体" w:hint="eastAsia"/>
          <w:bCs/>
          <w:sz w:val="24"/>
        </w:rPr>
        <w:t>的乙国货币；</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第二，将这笔资金</w:t>
      </w:r>
      <w:r w:rsidRPr="00481206">
        <w:rPr>
          <w:rFonts w:ascii="宋体" w:hAnsi="宋体"/>
          <w:bCs/>
          <w:position w:val="-24"/>
          <w:sz w:val="24"/>
        </w:rPr>
        <w:object w:dxaOrig="279" w:dyaOrig="620">
          <v:shape id="_x0000_i1171" type="#_x0000_t75" style="width:14.25pt;height:30.75pt" o:ole="">
            <v:imagedata r:id="rId289" o:title=""/>
          </v:shape>
          <o:OLEObject Type="Embed" ProgID="Equation.3" ShapeID="_x0000_i1171" DrawAspect="Content" ObjectID="_1550061439" r:id="rId290"/>
        </w:object>
      </w:r>
      <w:r w:rsidRPr="00481206">
        <w:rPr>
          <w:rFonts w:ascii="宋体" w:hAnsi="宋体" w:hint="eastAsia"/>
          <w:bCs/>
          <w:sz w:val="24"/>
        </w:rPr>
        <w:t>投资于乙国金融市场，则一年后，本息和为：</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24"/>
          <w:sz w:val="24"/>
        </w:rPr>
        <w:object w:dxaOrig="940" w:dyaOrig="620">
          <v:shape id="_x0000_i1172" type="#_x0000_t75" style="width:47.25pt;height:30.75pt" o:ole="">
            <v:imagedata r:id="rId291" o:title=""/>
          </v:shape>
          <o:OLEObject Type="Embed" ProgID="Equation.3" ShapeID="_x0000_i1172" DrawAspect="Content" ObjectID="_1550061440" r:id="rId292"/>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第三，在一年后，需要将这笔资金兑换成本国货币，但由于一年后的即期汇率是不确定的，为了防止汇率变动带来的风险，该投资者在目前购买一笔一年后交割的远期汇率合约，交割价格为</w:t>
      </w:r>
      <w:r w:rsidRPr="00481206">
        <w:rPr>
          <w:rFonts w:ascii="宋体" w:hAnsi="宋体"/>
          <w:bCs/>
          <w:position w:val="-10"/>
          <w:sz w:val="24"/>
        </w:rPr>
        <w:object w:dxaOrig="240" w:dyaOrig="320">
          <v:shape id="_x0000_i1173" type="#_x0000_t75" style="width:12pt;height:15.75pt" o:ole="">
            <v:imagedata r:id="rId293" o:title=""/>
          </v:shape>
          <o:OLEObject Type="Embed" ProgID="Equation.3" ShapeID="_x0000_i1173" DrawAspect="Content" ObjectID="_1550061441" r:id="rId294"/>
        </w:object>
      </w:r>
      <w:r w:rsidRPr="00481206">
        <w:rPr>
          <w:rFonts w:ascii="宋体" w:hAnsi="宋体" w:hint="eastAsia"/>
          <w:bCs/>
          <w:sz w:val="24"/>
        </w:rPr>
        <w:t>，这样，这笔资金就不存在任何风险，这时，这笔货币资金可兑换本币为</w:t>
      </w:r>
      <w:r w:rsidRPr="00481206">
        <w:rPr>
          <w:rFonts w:ascii="宋体" w:hAnsi="宋体"/>
          <w:bCs/>
          <w:position w:val="-24"/>
          <w:sz w:val="24"/>
        </w:rPr>
        <w:object w:dxaOrig="1140" w:dyaOrig="620">
          <v:shape id="_x0000_i1174" type="#_x0000_t75" style="width:57pt;height:30.75pt" o:ole="">
            <v:imagedata r:id="rId295" o:title=""/>
          </v:shape>
          <o:OLEObject Type="Embed" ProgID="Equation.3" ShapeID="_x0000_i1174" DrawAspect="Content" ObjectID="_1550061442" r:id="rId296"/>
        </w:object>
      </w:r>
      <w:r w:rsidRPr="00481206">
        <w:rPr>
          <w:rFonts w:ascii="宋体" w:hAnsi="宋体" w:hint="eastAsia"/>
          <w:bCs/>
          <w:sz w:val="24"/>
        </w:rPr>
        <w:t>。</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显然，我们选择哪种投资方式取决于这两种方式收益的高低，如果</w:t>
      </w:r>
      <w:r w:rsidRPr="00481206">
        <w:rPr>
          <w:rFonts w:ascii="宋体" w:hAnsi="宋体"/>
          <w:bCs/>
          <w:position w:val="-24"/>
          <w:sz w:val="24"/>
        </w:rPr>
        <w:object w:dxaOrig="2100" w:dyaOrig="620">
          <v:shape id="_x0000_i1175" type="#_x0000_t75" style="width:105pt;height:30.75pt" o:ole="">
            <v:imagedata r:id="rId297" o:title=""/>
          </v:shape>
          <o:OLEObject Type="Embed" ProgID="Equation.3" ShapeID="_x0000_i1175" DrawAspect="Content" ObjectID="_1550061443" r:id="rId298"/>
        </w:object>
      </w:r>
      <w:r w:rsidRPr="00481206">
        <w:rPr>
          <w:rFonts w:ascii="宋体" w:hAnsi="宋体" w:hint="eastAsia"/>
          <w:bCs/>
          <w:sz w:val="24"/>
        </w:rPr>
        <w:t>，投资者就会在甲国金融市场中借入资金，同时投资于乙国金融市场，同时投资者即期购入乙国货币，远期卖出乙国货币，从而使乙国货币即期升值，远期贬值，因此，</w:t>
      </w:r>
      <w:r w:rsidRPr="00481206">
        <w:rPr>
          <w:rFonts w:ascii="宋体" w:hAnsi="宋体"/>
          <w:bCs/>
          <w:position w:val="-6"/>
          <w:sz w:val="24"/>
        </w:rPr>
        <w:object w:dxaOrig="180" w:dyaOrig="220">
          <v:shape id="_x0000_i1176" type="#_x0000_t75" style="width:9pt;height:11.25pt" o:ole="">
            <v:imagedata r:id="rId299" o:title=""/>
          </v:shape>
          <o:OLEObject Type="Embed" ProgID="Equation.3" ShapeID="_x0000_i1176" DrawAspect="Content" ObjectID="_1550061444" r:id="rId300"/>
        </w:object>
      </w:r>
      <w:r w:rsidRPr="00481206">
        <w:rPr>
          <w:rFonts w:ascii="宋体" w:hAnsi="宋体" w:hint="eastAsia"/>
          <w:bCs/>
          <w:sz w:val="24"/>
        </w:rPr>
        <w:t>将增大，</w:t>
      </w:r>
      <w:r w:rsidRPr="00481206">
        <w:rPr>
          <w:rFonts w:ascii="宋体" w:hAnsi="宋体"/>
          <w:bCs/>
          <w:position w:val="-10"/>
          <w:sz w:val="24"/>
        </w:rPr>
        <w:object w:dxaOrig="240" w:dyaOrig="320">
          <v:shape id="_x0000_i1177" type="#_x0000_t75" style="width:12pt;height:15.75pt" o:ole="">
            <v:imagedata r:id="rId301" o:title=""/>
          </v:shape>
          <o:OLEObject Type="Embed" ProgID="Equation.3" ShapeID="_x0000_i1177" DrawAspect="Content" ObjectID="_1550061445" r:id="rId302"/>
        </w:object>
      </w:r>
      <w:r w:rsidRPr="00481206">
        <w:rPr>
          <w:rFonts w:ascii="宋体" w:hAnsi="宋体" w:hint="eastAsia"/>
          <w:bCs/>
          <w:sz w:val="24"/>
        </w:rPr>
        <w:t>将减少，直至两种投资方式的收益率相等，因此在均衡的情况下，有下式成立：</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24"/>
          <w:sz w:val="24"/>
        </w:rPr>
        <w:object w:dxaOrig="2100" w:dyaOrig="620">
          <v:shape id="_x0000_i1178" type="#_x0000_t75" style="width:105pt;height:30.75pt" o:ole="">
            <v:imagedata r:id="rId303" o:title=""/>
          </v:shape>
          <o:OLEObject Type="Embed" ProgID="Equation.3" ShapeID="_x0000_i1178" DrawAspect="Content" ObjectID="_1550061446" r:id="rId304"/>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即：</w:t>
      </w:r>
      <w:r w:rsidRPr="00481206">
        <w:rPr>
          <w:rFonts w:ascii="宋体" w:hAnsi="宋体"/>
          <w:bCs/>
          <w:position w:val="-24"/>
          <w:sz w:val="24"/>
        </w:rPr>
        <w:object w:dxaOrig="1740" w:dyaOrig="620">
          <v:shape id="_x0000_i1179" type="#_x0000_t75" style="width:87pt;height:30.75pt" o:ole="">
            <v:imagedata r:id="rId305" o:title=""/>
          </v:shape>
          <o:OLEObject Type="Embed" ProgID="Equation.3" ShapeID="_x0000_i1179" DrawAspect="Content" ObjectID="_1550061447" r:id="rId306"/>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整理，得：</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24"/>
          <w:sz w:val="24"/>
        </w:rPr>
        <w:object w:dxaOrig="1060" w:dyaOrig="620">
          <v:shape id="_x0000_i1180" type="#_x0000_t75" style="width:53.25pt;height:30.75pt" o:ole="">
            <v:imagedata r:id="rId307" o:title=""/>
          </v:shape>
          <o:OLEObject Type="Embed" ProgID="Equation.3" ShapeID="_x0000_i1180" DrawAspect="Content" ObjectID="_1550061448" r:id="rId308"/>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因此，</w:t>
      </w:r>
      <w:r w:rsidRPr="00481206">
        <w:rPr>
          <w:rFonts w:ascii="宋体" w:hAnsi="宋体"/>
          <w:bCs/>
          <w:position w:val="-24"/>
          <w:sz w:val="24"/>
        </w:rPr>
        <w:object w:dxaOrig="1160" w:dyaOrig="620">
          <v:shape id="_x0000_i1181" type="#_x0000_t75" style="width:57.75pt;height:30.75pt" o:ole="">
            <v:imagedata r:id="rId309" o:title=""/>
          </v:shape>
          <o:OLEObject Type="Embed" ProgID="Equation.3" ShapeID="_x0000_i1181" DrawAspect="Content" ObjectID="_1550061449" r:id="rId310"/>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这就是远期汇率的公式。</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如果考虑连续复利，则：</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6"/>
          <w:sz w:val="24"/>
        </w:rPr>
        <w:object w:dxaOrig="999" w:dyaOrig="360">
          <v:shape id="_x0000_i1182" type="#_x0000_t75" style="width:50.25pt;height:18pt" o:ole="">
            <v:imagedata r:id="rId311" o:title=""/>
          </v:shape>
          <o:OLEObject Type="Embed" ProgID="Equation.3" ShapeID="_x0000_i1182" DrawAspect="Content" ObjectID="_1550061450" r:id="rId312"/>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如果期限不是一年，则考虑连续复利的远期汇率定价公式为：</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6"/>
          <w:sz w:val="24"/>
        </w:rPr>
        <w:object w:dxaOrig="1200" w:dyaOrig="360">
          <v:shape id="_x0000_i1183" type="#_x0000_t75" style="width:60pt;height:18pt" o:ole="">
            <v:imagedata r:id="rId313" o:title=""/>
          </v:shape>
          <o:OLEObject Type="Embed" ProgID="Equation.3" ShapeID="_x0000_i1183" DrawAspect="Content" ObjectID="_1550061451" r:id="rId314"/>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其中，S为即期汇率，F为远期汇率，T为期限，</w:t>
      </w:r>
      <w:r w:rsidRPr="00481206">
        <w:rPr>
          <w:rFonts w:ascii="宋体" w:hAnsi="宋体"/>
          <w:bCs/>
          <w:position w:val="-6"/>
          <w:sz w:val="24"/>
        </w:rPr>
        <w:object w:dxaOrig="139" w:dyaOrig="260">
          <v:shape id="_x0000_i1184" type="#_x0000_t75" style="width:6.75pt;height:12.75pt" o:ole="">
            <v:imagedata r:id="rId279" o:title=""/>
          </v:shape>
          <o:OLEObject Type="Embed" ProgID="Equation.3" ShapeID="_x0000_i1184" DrawAspect="Content" ObjectID="_1550061452" r:id="rId315"/>
        </w:object>
      </w:r>
      <w:r w:rsidRPr="00481206">
        <w:rPr>
          <w:rFonts w:ascii="宋体" w:hAnsi="宋体" w:hint="eastAsia"/>
          <w:bCs/>
          <w:sz w:val="24"/>
        </w:rPr>
        <w:t>为本币利率，</w:t>
      </w:r>
      <w:r w:rsidRPr="00481206">
        <w:rPr>
          <w:rFonts w:ascii="宋体" w:hAnsi="宋体"/>
          <w:bCs/>
          <w:position w:val="-6"/>
          <w:sz w:val="24"/>
        </w:rPr>
        <w:object w:dxaOrig="220" w:dyaOrig="320">
          <v:shape id="_x0000_i1185" type="#_x0000_t75" style="width:11.25pt;height:15.75pt" o:ole="">
            <v:imagedata r:id="rId281" o:title=""/>
          </v:shape>
          <o:OLEObject Type="Embed" ProgID="Equation.3" ShapeID="_x0000_i1185" DrawAspect="Content" ObjectID="_1550061453" r:id="rId316"/>
        </w:object>
      </w:r>
      <w:r w:rsidRPr="00481206">
        <w:rPr>
          <w:rFonts w:ascii="宋体" w:hAnsi="宋体" w:hint="eastAsia"/>
          <w:bCs/>
          <w:sz w:val="24"/>
        </w:rPr>
        <w:t>为外币利率。</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lastRenderedPageBreak/>
        <w:t>我们知道，远期汇率和即期汇率的差为远期升（贴）水，记为</w:t>
      </w:r>
      <w:r w:rsidRPr="00481206">
        <w:rPr>
          <w:rFonts w:ascii="宋体" w:hAnsi="宋体"/>
          <w:bCs/>
          <w:position w:val="-10"/>
          <w:sz w:val="24"/>
        </w:rPr>
        <w:object w:dxaOrig="240" w:dyaOrig="260">
          <v:shape id="_x0000_i1186" type="#_x0000_t75" style="width:12pt;height:12.75pt" o:ole="">
            <v:imagedata r:id="rId317" o:title=""/>
          </v:shape>
          <o:OLEObject Type="Embed" ProgID="Equation.3" ShapeID="_x0000_i1186" DrawAspect="Content" ObjectID="_1550061454" r:id="rId318"/>
        </w:object>
      </w:r>
      <w:r w:rsidRPr="00481206">
        <w:rPr>
          <w:rFonts w:ascii="宋体" w:hAnsi="宋体" w:hint="eastAsia"/>
          <w:bCs/>
          <w:sz w:val="24"/>
        </w:rPr>
        <w:t>，即：</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24"/>
          <w:sz w:val="24"/>
        </w:rPr>
        <w:object w:dxaOrig="1020" w:dyaOrig="620">
          <v:shape id="_x0000_i1187" type="#_x0000_t75" style="width:51pt;height:30.75pt" o:ole="">
            <v:imagedata r:id="rId319" o:title=""/>
          </v:shape>
          <o:OLEObject Type="Embed" ProgID="Equation.3" ShapeID="_x0000_i1187" DrawAspect="Content" ObjectID="_1550061455" r:id="rId320"/>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则：</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24"/>
          <w:sz w:val="24"/>
        </w:rPr>
        <w:object w:dxaOrig="3340" w:dyaOrig="660">
          <v:shape id="_x0000_i1188" type="#_x0000_t75" style="width:167.25pt;height:33pt" o:ole="">
            <v:imagedata r:id="rId321" o:title=""/>
          </v:shape>
          <o:OLEObject Type="Embed" ProgID="Equation.3" ShapeID="_x0000_i1188" DrawAspect="Content" ObjectID="_1550061456" r:id="rId322"/>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一般来讲，</w:t>
      </w:r>
      <w:r w:rsidRPr="00481206">
        <w:rPr>
          <w:rFonts w:ascii="宋体" w:hAnsi="宋体"/>
          <w:bCs/>
          <w:position w:val="-6"/>
          <w:sz w:val="24"/>
        </w:rPr>
        <w:object w:dxaOrig="520" w:dyaOrig="320">
          <v:shape id="_x0000_i1189" type="#_x0000_t75" style="width:26.25pt;height:15.75pt" o:ole="">
            <v:imagedata r:id="rId323" o:title=""/>
          </v:shape>
          <o:OLEObject Type="Embed" ProgID="Equation.3" ShapeID="_x0000_i1189" DrawAspect="Content" ObjectID="_1550061457" r:id="rId324"/>
        </w:object>
      </w:r>
      <w:r w:rsidRPr="00481206">
        <w:rPr>
          <w:rFonts w:ascii="宋体" w:hAnsi="宋体" w:hint="eastAsia"/>
          <w:bCs/>
          <w:sz w:val="24"/>
        </w:rPr>
        <w:t>可以近似等于1，因此：</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10"/>
          <w:sz w:val="24"/>
        </w:rPr>
        <w:object w:dxaOrig="920" w:dyaOrig="360">
          <v:shape id="_x0000_i1190" type="#_x0000_t75" style="width:45.75pt;height:18pt" o:ole="">
            <v:imagedata r:id="rId325" o:title=""/>
          </v:shape>
          <o:OLEObject Type="Embed" ProgID="Equation.3" ShapeID="_x0000_i1190" DrawAspect="Content" ObjectID="_1550061458" r:id="rId326"/>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这个公式的含义是：汇率的远期升贴水等于两国货币的利率之差，如果本国利率高于外国利率，本币在远期将贬值；如果本国利率低于外国利率，本币将远期贬值。也就是说，汇率的变动会抵消两国间的利率差异，从而使金融市场处于均衡状态。</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2.非套补的利率平价</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套补的利率平价中，投资者的投资策略是进行远期交易来规避汇率风险，实际上，投资者有时会根据对未来汇率的预期来计算收益。</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在不进行远期交易时，投资者是通过对未来汇率的预期来计算投资活动的收益，假定投资者预期一年后的汇率为</w:t>
      </w:r>
      <w:r w:rsidRPr="00481206">
        <w:rPr>
          <w:rFonts w:ascii="宋体" w:hAnsi="宋体"/>
          <w:bCs/>
          <w:position w:val="-14"/>
          <w:sz w:val="24"/>
        </w:rPr>
        <w:object w:dxaOrig="440" w:dyaOrig="380">
          <v:shape id="_x0000_i1191" type="#_x0000_t75" style="width:21.75pt;height:18.75pt" o:ole="">
            <v:imagedata r:id="rId327" o:title=""/>
          </v:shape>
          <o:OLEObject Type="Embed" ProgID="Equation.3" ShapeID="_x0000_i1191" DrawAspect="Content" ObjectID="_1550061459" r:id="rId328"/>
        </w:object>
      </w:r>
      <w:r w:rsidRPr="00481206">
        <w:rPr>
          <w:rFonts w:ascii="宋体" w:hAnsi="宋体" w:hint="eastAsia"/>
          <w:bCs/>
          <w:sz w:val="24"/>
        </w:rPr>
        <w:t>，则在乙国金融市场中投资活动的最终收入为：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24"/>
          <w:sz w:val="24"/>
        </w:rPr>
        <w:object w:dxaOrig="1380" w:dyaOrig="660">
          <v:shape id="_x0000_i1192" type="#_x0000_t75" style="width:69pt;height:33pt" o:ole="">
            <v:imagedata r:id="rId329" o:title=""/>
          </v:shape>
          <o:OLEObject Type="Embed" ProgID="Equation.3" ShapeID="_x0000_i1192" DrawAspect="Content" ObjectID="_1550061460" r:id="rId330"/>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如果这一收入与投资本国金融市场的收入存在差异，则投资者会在市场中进行套利，从而使两者相同，因此在均衡状态下，有下式成立：</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24"/>
          <w:sz w:val="24"/>
        </w:rPr>
        <w:object w:dxaOrig="1980" w:dyaOrig="660">
          <v:shape id="_x0000_i1193" type="#_x0000_t75" style="width:99pt;height:33pt" o:ole="">
            <v:imagedata r:id="rId331" o:title=""/>
          </v:shape>
          <o:OLEObject Type="Embed" ProgID="Equation.3" ShapeID="_x0000_i1193" DrawAspect="Content" ObjectID="_1550061461" r:id="rId332"/>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这时，预期的汇率变动率为：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1080" w:dyaOrig="360">
          <v:shape id="_x0000_i1194" type="#_x0000_t75" style="width:54pt;height:18pt" o:ole="">
            <v:imagedata r:id="rId333" o:title=""/>
          </v:shape>
          <o:OLEObject Type="Embed" ProgID="Equation.3" ShapeID="_x0000_i1194" DrawAspect="Content" ObjectID="_1550061462" r:id="rId334"/>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它的经济含义是：预期的汇率远期变动率等于两国货币汇率之差。在非套补的利率平价成立时，如果本国利率高于外国利率，则意味着市场预期本币在远期将贬值。</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（上面关于利率平价理论的讲述可以参考《国际金融学》，姜波克主编 高等教育出版社（第五章））</w:t>
      </w:r>
    </w:p>
    <w:p w:rsidR="00481206" w:rsidRPr="00481206" w:rsidRDefault="00481206" w:rsidP="00481206">
      <w:pPr>
        <w:spacing w:line="360" w:lineRule="auto"/>
        <w:ind w:firstLineChars="150" w:firstLine="360"/>
        <w:outlineLvl w:val="0"/>
        <w:rPr>
          <w:rFonts w:ascii="宋体" w:hAnsi="宋体"/>
          <w:bCs/>
          <w:sz w:val="24"/>
        </w:rPr>
      </w:pPr>
      <w:bookmarkStart w:id="545" w:name="_Toc444350282"/>
      <w:bookmarkStart w:id="546" w:name="_Toc474271757"/>
      <w:r w:rsidRPr="00481206">
        <w:rPr>
          <w:rFonts w:ascii="宋体" w:hAnsi="宋体" w:hint="eastAsia"/>
          <w:bCs/>
          <w:sz w:val="24"/>
        </w:rPr>
        <w:t>（二）远期汇率的定价</w:t>
      </w:r>
      <w:bookmarkEnd w:id="545"/>
      <w:bookmarkEnd w:id="546"/>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lastRenderedPageBreak/>
        <w:t>远期汇率的定价采用套补利率平价的推导结果，即：</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6"/>
          <w:sz w:val="24"/>
        </w:rPr>
        <w:object w:dxaOrig="1200" w:dyaOrig="360">
          <v:shape id="_x0000_i1195" type="#_x0000_t75" style="width:60pt;height:18pt" o:ole="">
            <v:imagedata r:id="rId313" o:title=""/>
          </v:shape>
          <o:OLEObject Type="Embed" ProgID="Equation.3" ShapeID="_x0000_i1195" DrawAspect="Content" ObjectID="_1550061463" r:id="rId335"/>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其中，S为即期汇率，F为远期汇率，T为期限，</w:t>
      </w:r>
      <w:r w:rsidRPr="00481206">
        <w:rPr>
          <w:rFonts w:ascii="宋体" w:hAnsi="宋体"/>
          <w:bCs/>
          <w:position w:val="-6"/>
          <w:sz w:val="24"/>
        </w:rPr>
        <w:object w:dxaOrig="139" w:dyaOrig="260">
          <v:shape id="_x0000_i1196" type="#_x0000_t75" style="width:6.75pt;height:12.75pt" o:ole="">
            <v:imagedata r:id="rId279" o:title=""/>
          </v:shape>
          <o:OLEObject Type="Embed" ProgID="Equation.3" ShapeID="_x0000_i1196" DrawAspect="Content" ObjectID="_1550061464" r:id="rId336"/>
        </w:object>
      </w:r>
      <w:r w:rsidRPr="00481206">
        <w:rPr>
          <w:rFonts w:ascii="宋体" w:hAnsi="宋体" w:hint="eastAsia"/>
          <w:bCs/>
          <w:sz w:val="24"/>
        </w:rPr>
        <w:t>为本币利率，</w:t>
      </w:r>
      <w:r w:rsidRPr="00481206">
        <w:rPr>
          <w:rFonts w:ascii="宋体" w:hAnsi="宋体"/>
          <w:bCs/>
          <w:position w:val="-6"/>
          <w:sz w:val="24"/>
        </w:rPr>
        <w:object w:dxaOrig="220" w:dyaOrig="320">
          <v:shape id="_x0000_i1197" type="#_x0000_t75" style="width:11.25pt;height:15.75pt" o:ole="">
            <v:imagedata r:id="rId281" o:title=""/>
          </v:shape>
          <o:OLEObject Type="Embed" ProgID="Equation.3" ShapeID="_x0000_i1197" DrawAspect="Content" ObjectID="_1550061465" r:id="rId337"/>
        </w:object>
      </w:r>
      <w:r w:rsidRPr="00481206">
        <w:rPr>
          <w:rFonts w:ascii="宋体" w:hAnsi="宋体" w:hint="eastAsia"/>
          <w:bCs/>
          <w:sz w:val="24"/>
        </w:rPr>
        <w:t>为外币利率。</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例题：</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2007年10月10日，伦敦同业银行间拆解3个月美元利率为5.2475%，1年期美元利率为5.0887%，3个月日元利率为1.0075%，1年期日元利率为1.1487%，同时，美元对日元的即期汇率为0.0085美元/日元，则该3月期和1年期的远期汇率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3月期远期理论汇率为：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8"/>
          <w:sz w:val="24"/>
        </w:rPr>
        <w:object w:dxaOrig="5260" w:dyaOrig="340">
          <v:shape id="_x0000_i1198" type="#_x0000_t75" style="width:263.25pt;height:17.25pt" o:ole="">
            <v:imagedata r:id="rId338" o:title=""/>
          </v:shape>
          <o:OLEObject Type="Embed" ProgID="Equation.3" ShapeID="_x0000_i1198" DrawAspect="Content" ObjectID="_1550061466" r:id="rId339"/>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1年期远期理论汇率为：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8"/>
          <w:sz w:val="24"/>
        </w:rPr>
        <w:object w:dxaOrig="5100" w:dyaOrig="340">
          <v:shape id="_x0000_i1199" type="#_x0000_t75" style="width:255pt;height:17.25pt" o:ole="">
            <v:imagedata r:id="rId340" o:title=""/>
          </v:shape>
          <o:OLEObject Type="Embed" ProgID="Equation.3" ShapeID="_x0000_i1199" DrawAspect="Content" ObjectID="_1550061467" r:id="rId341"/>
        </w:object>
      </w:r>
      <w:r w:rsidRPr="00481206">
        <w:rPr>
          <w:rFonts w:ascii="宋体" w:hAnsi="宋体" w:hint="eastAsia"/>
          <w:bCs/>
          <w:sz w:val="24"/>
        </w:rPr>
        <w:t xml:space="preserve"> </w:t>
      </w:r>
    </w:p>
    <w:p w:rsidR="00481206" w:rsidRPr="00481206" w:rsidRDefault="00481206" w:rsidP="00481206">
      <w:pPr>
        <w:numPr>
          <w:ilvl w:val="0"/>
          <w:numId w:val="4"/>
        </w:numPr>
        <w:tabs>
          <w:tab w:val="left" w:pos="420"/>
        </w:tabs>
        <w:spacing w:line="360" w:lineRule="auto"/>
        <w:ind w:left="0" w:firstLine="420"/>
        <w:outlineLvl w:val="1"/>
        <w:rPr>
          <w:rFonts w:ascii="宋体" w:hAnsi="宋体" w:cs="宋体"/>
          <w:bCs/>
          <w:sz w:val="24"/>
        </w:rPr>
      </w:pPr>
      <w:bookmarkStart w:id="547" w:name="_Toc444350283"/>
      <w:bookmarkStart w:id="548" w:name="_Toc474271758"/>
      <w:r w:rsidRPr="00481206">
        <w:rPr>
          <w:rFonts w:ascii="宋体" w:hAnsi="宋体" w:cs="宋体" w:hint="eastAsia"/>
          <w:bCs/>
          <w:sz w:val="24"/>
        </w:rPr>
        <w:t>第10讲，共90分钟</w:t>
      </w:r>
      <w:bookmarkEnd w:id="547"/>
      <w:bookmarkEnd w:id="548"/>
    </w:p>
    <w:p w:rsidR="00481206" w:rsidRPr="00481206" w:rsidRDefault="00481206" w:rsidP="00481206">
      <w:pPr>
        <w:spacing w:line="360" w:lineRule="auto"/>
        <w:jc w:val="center"/>
        <w:rPr>
          <w:rFonts w:ascii="宋体" w:hAnsi="宋体"/>
          <w:bCs/>
          <w:sz w:val="24"/>
        </w:rPr>
      </w:pPr>
      <w:r w:rsidRPr="00481206">
        <w:rPr>
          <w:rFonts w:ascii="宋体" w:hAnsi="宋体" w:hint="eastAsia"/>
          <w:bCs/>
          <w:sz w:val="24"/>
        </w:rPr>
        <w:t>第三节  股指期货的定价</w:t>
      </w:r>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股指期货是以股票市场中的价格指数为标的物的期货交易形式。投资者买进股指期货，就相当于买进相关的现货股票组合。但是，作为一种投资策略，买进现货股票组合与买进股指期货有着不相同的现金流转形式。如果投资者买进现货股票组合，则他持有该组合期间可以获得红利。但在买进股票组合时，他必须支付所买股票的全部价款。为此，他将付出一定的融资成本。</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而如果投资者买进股指期货，则他虽然得不到红利，但他也无需支付股票的全部价款，而只需缴纳少量的保证金即可。于是，在买进股指期货后，他可将股票价款总额扣除所缴纳的保证金后的月投资于无风险资产，从而获得相应的收入。这种不同的现金流转形式对投资者的收益和成本必将产生不同的影响。股指期货的理论价格，应确定在这两种策略对投资者而言其收益和成本正好相同的水平。</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根据以上分析，股指期货的理论价格应等于现货指数加上融资成本，再减去红利。比如，我们以F表示股指期货的理论价格，以S表示现货市场的股价指数，以r表示融资年利率（年率），以y表示红利率（年率），以t表示持有现货股票组合的天数（即股指期货距到期日的天数），则根据持有成本理论，可知：</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24"/>
          <w:sz w:val="24"/>
        </w:rPr>
        <w:object w:dxaOrig="1860" w:dyaOrig="620">
          <v:shape id="_x0000_i1200" type="#_x0000_t75" style="width:93pt;height:30.75pt" o:ole="">
            <v:imagedata r:id="rId342" o:title=""/>
          </v:shape>
          <o:OLEObject Type="Embed" ProgID="Equation.3" ShapeID="_x0000_i1200" DrawAspect="Content" ObjectID="_1550061468" r:id="rId343"/>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lastRenderedPageBreak/>
        <w:t>举例说明：</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假定在某时间S&amp;P500指数为360，货币市场短期借款利率为8%，折算为年率的红利率为6%，S&amp;P500指数期货距离到期日还有90天，则我们先用持有成本法来计算该股指期货的理论价格，即：</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24"/>
          <w:sz w:val="24"/>
        </w:rPr>
        <w:object w:dxaOrig="3580" w:dyaOrig="620">
          <v:shape id="_x0000_i1201" type="#_x0000_t75" style="width:179.25pt;height:30.75pt" o:ole="">
            <v:imagedata r:id="rId344" o:title=""/>
          </v:shape>
          <o:OLEObject Type="Embed" ProgID="Equation.3" ShapeID="_x0000_i1201" DrawAspect="Content" ObjectID="_1550061469" r:id="rId345"/>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理论价格为指数点。</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下面我们用以连续复利计息的远期合约定价原理来计算此股指期货的理论价格，即：</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6"/>
          <w:sz w:val="24"/>
        </w:rPr>
        <w:object w:dxaOrig="2200" w:dyaOrig="320">
          <v:shape id="_x0000_i1202" type="#_x0000_t75" style="width:110.25pt;height:15.75pt" o:ole="">
            <v:imagedata r:id="rId346" o:title=""/>
          </v:shape>
          <o:OLEObject Type="Embed" ProgID="Equation.3" ShapeID="_x0000_i1202" DrawAspect="Content" ObjectID="_1550061470" r:id="rId347"/>
        </w:object>
      </w:r>
      <w:r w:rsidRPr="00481206">
        <w:rPr>
          <w:rFonts w:ascii="宋体" w:hAnsi="宋体" w:hint="eastAsia"/>
          <w:bCs/>
          <w:sz w:val="24"/>
        </w:rPr>
        <w:t>=360*1.005=361.8（指数点）</w:t>
      </w:r>
    </w:p>
    <w:p w:rsidR="00481206" w:rsidRPr="00481206" w:rsidRDefault="00481206" w:rsidP="00481206">
      <w:pPr>
        <w:spacing w:line="360" w:lineRule="auto"/>
        <w:jc w:val="center"/>
        <w:rPr>
          <w:rFonts w:ascii="宋体" w:hAnsi="宋体"/>
          <w:bCs/>
          <w:sz w:val="24"/>
        </w:rPr>
      </w:pPr>
      <w:r w:rsidRPr="00481206">
        <w:rPr>
          <w:rFonts w:ascii="宋体" w:hAnsi="宋体" w:hint="eastAsia"/>
          <w:bCs/>
          <w:sz w:val="24"/>
        </w:rPr>
        <w:t>第四节 远期利率协议的定价</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远期利率，是指现在时刻的将来一定期限的利率，它是与即期利率对应的一个概念，即期利率是指当前时刻起一定期限的利率。</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一般的说，假设现在的时刻为t，T时刻到期的即期利率为r，</w:t>
      </w:r>
      <w:r w:rsidRPr="00481206">
        <w:rPr>
          <w:rFonts w:ascii="宋体" w:hAnsi="宋体"/>
          <w:bCs/>
          <w:position w:val="-4"/>
          <w:sz w:val="24"/>
        </w:rPr>
        <w:object w:dxaOrig="300" w:dyaOrig="300">
          <v:shape id="_x0000_i1203" type="#_x0000_t75" style="width:15pt;height:15pt" o:ole="">
            <v:imagedata r:id="rId348" o:title=""/>
          </v:shape>
          <o:OLEObject Type="Embed" ProgID="Equation.3" ShapeID="_x0000_i1203" DrawAspect="Content" ObjectID="_1550061471" r:id="rId349"/>
        </w:object>
      </w:r>
      <w:r w:rsidRPr="00481206">
        <w:rPr>
          <w:rFonts w:ascii="宋体" w:hAnsi="宋体" w:hint="eastAsia"/>
          <w:bCs/>
          <w:sz w:val="24"/>
        </w:rPr>
        <w:t>时刻（</w:t>
      </w:r>
      <w:r w:rsidRPr="00481206">
        <w:rPr>
          <w:rFonts w:ascii="宋体" w:hAnsi="宋体"/>
          <w:bCs/>
          <w:position w:val="-4"/>
          <w:sz w:val="24"/>
        </w:rPr>
        <w:object w:dxaOrig="300" w:dyaOrig="300">
          <v:shape id="_x0000_i1204" type="#_x0000_t75" style="width:15pt;height:15pt" o:ole="">
            <v:imagedata r:id="rId350" o:title=""/>
          </v:shape>
          <o:OLEObject Type="Embed" ProgID="Equation.3" ShapeID="_x0000_i1204" DrawAspect="Content" ObjectID="_1550061472" r:id="rId351"/>
        </w:object>
      </w:r>
      <w:r w:rsidRPr="00481206">
        <w:rPr>
          <w:rFonts w:ascii="宋体" w:hAnsi="宋体" w:hint="eastAsia"/>
          <w:bCs/>
          <w:sz w:val="24"/>
        </w:rPr>
        <w:t>&gt;T）到期的即期利率为</w:t>
      </w:r>
      <w:r w:rsidRPr="00481206">
        <w:rPr>
          <w:rFonts w:ascii="宋体" w:hAnsi="宋体"/>
          <w:bCs/>
          <w:position w:val="-4"/>
          <w:sz w:val="24"/>
        </w:rPr>
        <w:object w:dxaOrig="260" w:dyaOrig="300">
          <v:shape id="_x0000_i1205" type="#_x0000_t75" style="width:12.75pt;height:15pt" o:ole="">
            <v:imagedata r:id="rId352" o:title=""/>
          </v:shape>
          <o:OLEObject Type="Embed" ProgID="Equation.3" ShapeID="_x0000_i1205" DrawAspect="Content" ObjectID="_1550061473" r:id="rId353"/>
        </w:object>
      </w:r>
      <w:r w:rsidRPr="00481206">
        <w:rPr>
          <w:rFonts w:ascii="宋体" w:hAnsi="宋体" w:hint="eastAsia"/>
          <w:bCs/>
          <w:sz w:val="24"/>
        </w:rPr>
        <w:t>，则t时刻的</w:t>
      </w:r>
      <w:r w:rsidRPr="00481206">
        <w:rPr>
          <w:rFonts w:ascii="宋体" w:hAnsi="宋体"/>
          <w:bCs/>
          <w:position w:val="-4"/>
          <w:sz w:val="24"/>
        </w:rPr>
        <w:object w:dxaOrig="700" w:dyaOrig="300">
          <v:shape id="_x0000_i1206" type="#_x0000_t75" style="width:35.25pt;height:15pt" o:ole="">
            <v:imagedata r:id="rId354" o:title=""/>
          </v:shape>
          <o:OLEObject Type="Embed" ProgID="Equation.3" ShapeID="_x0000_i1206" DrawAspect="Content" ObjectID="_1550061474" r:id="rId355"/>
        </w:object>
      </w:r>
      <w:r w:rsidRPr="00481206">
        <w:rPr>
          <w:rFonts w:ascii="宋体" w:hAnsi="宋体" w:hint="eastAsia"/>
          <w:bCs/>
          <w:sz w:val="24"/>
        </w:rPr>
        <w:t>期间的远期利率</w:t>
      </w:r>
      <w:r w:rsidRPr="00481206">
        <w:rPr>
          <w:rFonts w:ascii="宋体" w:hAnsi="宋体"/>
          <w:bCs/>
          <w:position w:val="-10"/>
          <w:sz w:val="24"/>
        </w:rPr>
        <w:object w:dxaOrig="260" w:dyaOrig="340">
          <v:shape id="_x0000_i1207" type="#_x0000_t75" style="width:12.75pt;height:17.25pt" o:ole="">
            <v:imagedata r:id="rId356" o:title=""/>
          </v:shape>
          <o:OLEObject Type="Embed" ProgID="Equation.3" ShapeID="_x0000_i1207" DrawAspect="Content" ObjectID="_1550061475" r:id="rId357"/>
        </w:object>
      </w:r>
      <w:r w:rsidRPr="00481206">
        <w:rPr>
          <w:rFonts w:ascii="宋体" w:hAnsi="宋体" w:hint="eastAsia"/>
          <w:bCs/>
          <w:sz w:val="24"/>
        </w:rPr>
        <w:t>应满足如下等式：</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6"/>
          <w:sz w:val="24"/>
        </w:rPr>
        <w:object w:dxaOrig="2500" w:dyaOrig="360">
          <v:shape id="_x0000_i1208" type="#_x0000_t75" style="width:125.25pt;height:18pt" o:ole="">
            <v:imagedata r:id="rId358" o:title=""/>
          </v:shape>
          <o:OLEObject Type="Embed" ProgID="Equation.3" ShapeID="_x0000_i1208" DrawAspect="Content" ObjectID="_1550061476" r:id="rId359"/>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得到：</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10"/>
          <w:sz w:val="24"/>
        </w:rPr>
        <w:object w:dxaOrig="3240" w:dyaOrig="360">
          <v:shape id="_x0000_i1209" type="#_x0000_t75" style="width:162pt;height:18pt" o:ole="">
            <v:imagedata r:id="rId360" o:title=""/>
          </v:shape>
          <o:OLEObject Type="Embed" ProgID="Equation.3" ShapeID="_x0000_i1209" DrawAspect="Content" ObjectID="_1550061477" r:id="rId361"/>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如果此式不成立，将会发生套利行为：</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如果</w:t>
      </w:r>
      <w:r w:rsidRPr="00481206">
        <w:rPr>
          <w:rFonts w:ascii="宋体" w:hAnsi="宋体"/>
          <w:bCs/>
          <w:position w:val="-10"/>
          <w:sz w:val="24"/>
        </w:rPr>
        <w:object w:dxaOrig="3240" w:dyaOrig="360">
          <v:shape id="_x0000_i1210" type="#_x0000_t75" style="width:162pt;height:18pt" o:ole="">
            <v:imagedata r:id="rId362" o:title=""/>
          </v:shape>
          <o:OLEObject Type="Embed" ProgID="Equation.3" ShapeID="_x0000_i1210" DrawAspect="Content" ObjectID="_1550061478" r:id="rId363"/>
        </w:object>
      </w:r>
      <w:r w:rsidRPr="00481206">
        <w:rPr>
          <w:rFonts w:ascii="宋体" w:hAnsi="宋体" w:hint="eastAsia"/>
          <w:bCs/>
          <w:sz w:val="24"/>
        </w:rPr>
        <w:t>，将发生如下套利行为：</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第一步：在t时刻：</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（1）以利率</w:t>
      </w:r>
      <w:r w:rsidRPr="00481206">
        <w:rPr>
          <w:rFonts w:ascii="宋体" w:hAnsi="宋体"/>
          <w:bCs/>
          <w:position w:val="-4"/>
          <w:sz w:val="24"/>
        </w:rPr>
        <w:object w:dxaOrig="260" w:dyaOrig="300">
          <v:shape id="_x0000_i1211" type="#_x0000_t75" style="width:12.75pt;height:15pt" o:ole="">
            <v:imagedata r:id="rId364" o:title=""/>
          </v:shape>
          <o:OLEObject Type="Embed" ProgID="Equation.3" ShapeID="_x0000_i1211" DrawAspect="Content" ObjectID="_1550061479" r:id="rId365"/>
        </w:object>
      </w:r>
      <w:r w:rsidRPr="00481206">
        <w:rPr>
          <w:rFonts w:ascii="宋体" w:hAnsi="宋体" w:hint="eastAsia"/>
          <w:bCs/>
          <w:sz w:val="24"/>
        </w:rPr>
        <w:t>借入到期日为</w:t>
      </w:r>
      <w:r w:rsidRPr="00481206">
        <w:rPr>
          <w:rFonts w:ascii="宋体" w:hAnsi="宋体"/>
          <w:bCs/>
          <w:position w:val="-4"/>
          <w:sz w:val="24"/>
        </w:rPr>
        <w:object w:dxaOrig="300" w:dyaOrig="300">
          <v:shape id="_x0000_i1212" type="#_x0000_t75" style="width:15pt;height:15pt" o:ole="">
            <v:imagedata r:id="rId366" o:title=""/>
          </v:shape>
          <o:OLEObject Type="Embed" ProgID="Equation.3" ShapeID="_x0000_i1212" DrawAspect="Content" ObjectID="_1550061480" r:id="rId367"/>
        </w:object>
      </w:r>
      <w:r w:rsidRPr="00481206">
        <w:rPr>
          <w:rFonts w:ascii="宋体" w:hAnsi="宋体" w:hint="eastAsia"/>
          <w:bCs/>
          <w:sz w:val="24"/>
        </w:rPr>
        <w:t>的贷款A元；</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（2）将A以</w:t>
      </w:r>
      <w:r w:rsidRPr="00481206">
        <w:rPr>
          <w:rFonts w:ascii="宋体" w:hAnsi="宋体"/>
          <w:bCs/>
          <w:position w:val="-4"/>
          <w:sz w:val="24"/>
        </w:rPr>
        <w:object w:dxaOrig="180" w:dyaOrig="200">
          <v:shape id="_x0000_i1213" type="#_x0000_t75" style="width:9pt;height:9.75pt" o:ole="">
            <v:imagedata r:id="rId368" o:title=""/>
          </v:shape>
          <o:OLEObject Type="Embed" ProgID="Equation.3" ShapeID="_x0000_i1213" DrawAspect="Content" ObjectID="_1550061481" r:id="rId369"/>
        </w:object>
      </w:r>
      <w:r w:rsidRPr="00481206">
        <w:rPr>
          <w:rFonts w:ascii="宋体" w:hAnsi="宋体" w:hint="eastAsia"/>
          <w:bCs/>
          <w:sz w:val="24"/>
        </w:rPr>
        <w:t>的利率贷出，期限为T；</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（3）签订一份期限为</w:t>
      </w:r>
      <w:r w:rsidRPr="00481206">
        <w:rPr>
          <w:rFonts w:ascii="宋体" w:hAnsi="宋体"/>
          <w:bCs/>
          <w:position w:val="-4"/>
          <w:sz w:val="24"/>
        </w:rPr>
        <w:object w:dxaOrig="700" w:dyaOrig="300">
          <v:shape id="_x0000_i1214" type="#_x0000_t75" style="width:35.25pt;height:15pt" o:ole="">
            <v:imagedata r:id="rId354" o:title=""/>
          </v:shape>
          <o:OLEObject Type="Embed" ProgID="Equation.3" ShapeID="_x0000_i1214" DrawAspect="Content" ObjectID="_1550061482" r:id="rId370"/>
        </w:object>
      </w:r>
      <w:r w:rsidRPr="00481206">
        <w:rPr>
          <w:rFonts w:ascii="宋体" w:hAnsi="宋体" w:hint="eastAsia"/>
          <w:bCs/>
          <w:sz w:val="24"/>
        </w:rPr>
        <w:t>、远期利率为</w:t>
      </w:r>
      <w:r w:rsidRPr="00481206">
        <w:rPr>
          <w:rFonts w:ascii="宋体" w:hAnsi="宋体"/>
          <w:bCs/>
          <w:position w:val="-10"/>
          <w:sz w:val="24"/>
        </w:rPr>
        <w:object w:dxaOrig="260" w:dyaOrig="340">
          <v:shape id="_x0000_i1215" type="#_x0000_t75" style="width:12.75pt;height:17.25pt" o:ole="">
            <v:imagedata r:id="rId371" o:title=""/>
          </v:shape>
          <o:OLEObject Type="Embed" ProgID="Equation.3" ShapeID="_x0000_i1215" DrawAspect="Content" ObjectID="_1550061483" r:id="rId372"/>
        </w:object>
      </w:r>
      <w:r w:rsidRPr="00481206">
        <w:rPr>
          <w:rFonts w:ascii="宋体" w:hAnsi="宋体" w:hint="eastAsia"/>
          <w:bCs/>
          <w:sz w:val="24"/>
        </w:rPr>
        <w:t>的远期利率协议，贷出的金额为</w:t>
      </w:r>
      <w:r w:rsidRPr="00481206">
        <w:rPr>
          <w:rFonts w:ascii="宋体" w:hAnsi="宋体"/>
          <w:bCs/>
          <w:position w:val="-6"/>
          <w:sz w:val="24"/>
        </w:rPr>
        <w:object w:dxaOrig="780" w:dyaOrig="320">
          <v:shape id="_x0000_i1216" type="#_x0000_t75" style="width:39pt;height:15.75pt" o:ole="">
            <v:imagedata r:id="rId373" o:title=""/>
          </v:shape>
          <o:OLEObject Type="Embed" ProgID="Equation.3" ShapeID="_x0000_i1216" DrawAspect="Content" ObjectID="_1550061484" r:id="rId374"/>
        </w:object>
      </w:r>
      <w:r w:rsidRPr="00481206">
        <w:rPr>
          <w:rFonts w:ascii="宋体" w:hAnsi="宋体" w:hint="eastAsia"/>
          <w:bCs/>
          <w:sz w:val="24"/>
        </w:rPr>
        <w:t>；</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第二步：在T时刻：</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（1）收到贷款</w:t>
      </w:r>
      <w:r w:rsidRPr="00481206">
        <w:rPr>
          <w:rFonts w:ascii="宋体" w:hAnsi="宋体"/>
          <w:bCs/>
          <w:position w:val="-6"/>
          <w:sz w:val="24"/>
        </w:rPr>
        <w:object w:dxaOrig="780" w:dyaOrig="320">
          <v:shape id="_x0000_i1217" type="#_x0000_t75" style="width:39pt;height:15.75pt" o:ole="">
            <v:imagedata r:id="rId375" o:title=""/>
          </v:shape>
          <o:OLEObject Type="Embed" ProgID="Equation.3" ShapeID="_x0000_i1217" DrawAspect="Content" ObjectID="_1550061485" r:id="rId376"/>
        </w:object>
      </w:r>
      <w:r w:rsidRPr="00481206">
        <w:rPr>
          <w:rFonts w:ascii="宋体" w:hAnsi="宋体" w:hint="eastAsia"/>
          <w:bCs/>
          <w:sz w:val="24"/>
        </w:rPr>
        <w:t>；</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（2）执行FRA，将</w:t>
      </w:r>
      <w:r w:rsidRPr="00481206">
        <w:rPr>
          <w:rFonts w:ascii="宋体" w:hAnsi="宋体"/>
          <w:bCs/>
          <w:position w:val="-6"/>
          <w:sz w:val="24"/>
        </w:rPr>
        <w:object w:dxaOrig="780" w:dyaOrig="320">
          <v:shape id="_x0000_i1218" type="#_x0000_t75" style="width:39pt;height:15.75pt" o:ole="">
            <v:imagedata r:id="rId373" o:title=""/>
          </v:shape>
          <o:OLEObject Type="Embed" ProgID="Equation.3" ShapeID="_x0000_i1218" DrawAspect="Content" ObjectID="_1550061486" r:id="rId377"/>
        </w:object>
      </w:r>
      <w:r w:rsidRPr="00481206">
        <w:rPr>
          <w:rFonts w:ascii="宋体" w:hAnsi="宋体" w:hint="eastAsia"/>
          <w:bCs/>
          <w:sz w:val="24"/>
        </w:rPr>
        <w:t>按照</w:t>
      </w:r>
      <w:r w:rsidRPr="00481206">
        <w:rPr>
          <w:rFonts w:ascii="宋体" w:hAnsi="宋体"/>
          <w:bCs/>
          <w:position w:val="-10"/>
          <w:sz w:val="24"/>
        </w:rPr>
        <w:object w:dxaOrig="260" w:dyaOrig="340">
          <v:shape id="_x0000_i1219" type="#_x0000_t75" style="width:12.75pt;height:17.25pt" o:ole="">
            <v:imagedata r:id="rId371" o:title=""/>
          </v:shape>
          <o:OLEObject Type="Embed" ProgID="Equation.3" ShapeID="_x0000_i1219" DrawAspect="Content" ObjectID="_1550061487" r:id="rId378"/>
        </w:object>
      </w:r>
      <w:r w:rsidRPr="00481206">
        <w:rPr>
          <w:rFonts w:ascii="宋体" w:hAnsi="宋体" w:hint="eastAsia"/>
          <w:bCs/>
          <w:sz w:val="24"/>
        </w:rPr>
        <w:t>贷出；</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第三步：在</w:t>
      </w:r>
      <w:r w:rsidRPr="00481206">
        <w:rPr>
          <w:rFonts w:ascii="宋体" w:hAnsi="宋体"/>
          <w:bCs/>
          <w:position w:val="-4"/>
          <w:sz w:val="24"/>
        </w:rPr>
        <w:object w:dxaOrig="300" w:dyaOrig="300">
          <v:shape id="_x0000_i1220" type="#_x0000_t75" style="width:15pt;height:15pt" o:ole="">
            <v:imagedata r:id="rId348" o:title=""/>
          </v:shape>
          <o:OLEObject Type="Embed" ProgID="Equation.3" ShapeID="_x0000_i1220" DrawAspect="Content" ObjectID="_1550061488" r:id="rId379"/>
        </w:object>
      </w:r>
      <w:r w:rsidRPr="00481206">
        <w:rPr>
          <w:rFonts w:ascii="宋体" w:hAnsi="宋体" w:hint="eastAsia"/>
          <w:bCs/>
          <w:sz w:val="24"/>
        </w:rPr>
        <w:t>时刻：</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lastRenderedPageBreak/>
        <w:t>（1）从FRA贷款中收回</w:t>
      </w:r>
      <w:r w:rsidRPr="00481206">
        <w:rPr>
          <w:rFonts w:ascii="宋体" w:hAnsi="宋体"/>
          <w:bCs/>
          <w:position w:val="-6"/>
          <w:sz w:val="24"/>
        </w:rPr>
        <w:object w:dxaOrig="1920" w:dyaOrig="380">
          <v:shape id="_x0000_i1221" type="#_x0000_t75" style="width:96pt;height:18.75pt" o:ole="">
            <v:imagedata r:id="rId380" o:title=""/>
          </v:shape>
          <o:OLEObject Type="Embed" ProgID="Equation.3" ShapeID="_x0000_i1221" DrawAspect="Content" ObjectID="_1550061489" r:id="rId381"/>
        </w:object>
      </w:r>
      <w:r w:rsidRPr="00481206">
        <w:rPr>
          <w:rFonts w:ascii="宋体" w:hAnsi="宋体" w:hint="eastAsia"/>
          <w:bCs/>
          <w:sz w:val="24"/>
        </w:rPr>
        <w:t>；</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（2）还掉长期贷款</w:t>
      </w:r>
      <w:r w:rsidRPr="00481206">
        <w:rPr>
          <w:rFonts w:ascii="宋体" w:hAnsi="宋体"/>
          <w:bCs/>
          <w:position w:val="-6"/>
          <w:sz w:val="24"/>
        </w:rPr>
        <w:object w:dxaOrig="1100" w:dyaOrig="360">
          <v:shape id="_x0000_i1222" type="#_x0000_t75" style="width:54.75pt;height:18pt" o:ole="">
            <v:imagedata r:id="rId382" o:title=""/>
          </v:shape>
          <o:OLEObject Type="Embed" ProgID="Equation.3" ShapeID="_x0000_i1222" DrawAspect="Content" ObjectID="_1550061490" r:id="rId383"/>
        </w:object>
      </w:r>
      <w:r w:rsidRPr="00481206">
        <w:rPr>
          <w:rFonts w:ascii="宋体" w:hAnsi="宋体" w:hint="eastAsia"/>
          <w:bCs/>
          <w:sz w:val="24"/>
        </w:rPr>
        <w:t>，获得无风险收益</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因此，</w:t>
      </w:r>
      <w:r w:rsidRPr="00481206">
        <w:rPr>
          <w:rFonts w:ascii="宋体" w:hAnsi="宋体"/>
          <w:bCs/>
          <w:position w:val="-4"/>
          <w:sz w:val="24"/>
        </w:rPr>
        <w:object w:dxaOrig="180" w:dyaOrig="200">
          <v:shape id="_x0000_i1223" type="#_x0000_t75" style="width:9pt;height:9.75pt" o:ole="">
            <v:imagedata r:id="rId368" o:title=""/>
          </v:shape>
          <o:OLEObject Type="Embed" ProgID="Equation.3" ShapeID="_x0000_i1223" DrawAspect="Content" ObjectID="_1550061491" r:id="rId384"/>
        </w:object>
      </w:r>
      <w:r w:rsidRPr="00481206">
        <w:rPr>
          <w:rFonts w:ascii="宋体" w:hAnsi="宋体" w:hint="eastAsia"/>
          <w:bCs/>
          <w:sz w:val="24"/>
        </w:rPr>
        <w:t>和</w:t>
      </w:r>
      <w:r w:rsidRPr="00481206">
        <w:rPr>
          <w:rFonts w:ascii="宋体" w:hAnsi="宋体"/>
          <w:bCs/>
          <w:position w:val="-10"/>
          <w:sz w:val="24"/>
        </w:rPr>
        <w:object w:dxaOrig="260" w:dyaOrig="340">
          <v:shape id="_x0000_i1224" type="#_x0000_t75" style="width:12.75pt;height:17.25pt" o:ole="">
            <v:imagedata r:id="rId371" o:title=""/>
          </v:shape>
          <o:OLEObject Type="Embed" ProgID="Equation.3" ShapeID="_x0000_i1224" DrawAspect="Content" ObjectID="_1550061492" r:id="rId385"/>
        </w:object>
      </w:r>
      <w:r w:rsidRPr="00481206">
        <w:rPr>
          <w:rFonts w:ascii="宋体" w:hAnsi="宋体" w:hint="eastAsia"/>
          <w:bCs/>
          <w:sz w:val="24"/>
        </w:rPr>
        <w:t>趋于下降，</w:t>
      </w:r>
      <w:r w:rsidRPr="00481206">
        <w:rPr>
          <w:rFonts w:ascii="宋体" w:hAnsi="宋体"/>
          <w:bCs/>
          <w:position w:val="-4"/>
          <w:sz w:val="24"/>
        </w:rPr>
        <w:object w:dxaOrig="260" w:dyaOrig="300">
          <v:shape id="_x0000_i1225" type="#_x0000_t75" style="width:12.75pt;height:15pt" o:ole="">
            <v:imagedata r:id="rId386" o:title=""/>
          </v:shape>
          <o:OLEObject Type="Embed" ProgID="Equation.3" ShapeID="_x0000_i1225" DrawAspect="Content" ObjectID="_1550061493" r:id="rId387"/>
        </w:object>
      </w:r>
      <w:r w:rsidRPr="00481206">
        <w:rPr>
          <w:rFonts w:ascii="宋体" w:hAnsi="宋体" w:hint="eastAsia"/>
          <w:bCs/>
          <w:sz w:val="24"/>
        </w:rPr>
        <w:t>趋于上升，最终：</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10"/>
          <w:sz w:val="24"/>
        </w:rPr>
        <w:object w:dxaOrig="3240" w:dyaOrig="360">
          <v:shape id="_x0000_i1226" type="#_x0000_t75" style="width:162pt;height:18pt" o:ole="">
            <v:imagedata r:id="rId360" o:title=""/>
          </v:shape>
          <o:OLEObject Type="Embed" ProgID="Equation.3" ShapeID="_x0000_i1226" DrawAspect="Content" ObjectID="_1550061494" r:id="rId388"/>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如果</w:t>
      </w:r>
      <w:r w:rsidRPr="00481206">
        <w:rPr>
          <w:rFonts w:ascii="宋体" w:hAnsi="宋体"/>
          <w:bCs/>
          <w:position w:val="-10"/>
          <w:sz w:val="24"/>
        </w:rPr>
        <w:object w:dxaOrig="3240" w:dyaOrig="360">
          <v:shape id="_x0000_i1227" type="#_x0000_t75" style="width:162pt;height:18pt" o:ole="">
            <v:imagedata r:id="rId389" o:title=""/>
          </v:shape>
          <o:OLEObject Type="Embed" ProgID="Equation.3" ShapeID="_x0000_i1227" DrawAspect="Content" ObjectID="_1550061495" r:id="rId390"/>
        </w:object>
      </w:r>
      <w:r w:rsidRPr="00481206">
        <w:rPr>
          <w:rFonts w:ascii="宋体" w:hAnsi="宋体" w:hint="eastAsia"/>
          <w:bCs/>
          <w:sz w:val="24"/>
        </w:rPr>
        <w:t>，将发生如下套利行为：</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第一步：在t时刻：</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（1）以r借入到期日为T的贷款A元；</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（2）将借入的A元，以</w:t>
      </w:r>
      <w:r w:rsidRPr="00481206">
        <w:rPr>
          <w:rFonts w:ascii="宋体" w:hAnsi="宋体"/>
          <w:bCs/>
          <w:position w:val="-4"/>
          <w:sz w:val="24"/>
        </w:rPr>
        <w:object w:dxaOrig="260" w:dyaOrig="300">
          <v:shape id="_x0000_i1228" type="#_x0000_t75" style="width:12.75pt;height:15pt" o:ole="">
            <v:imagedata r:id="rId386" o:title=""/>
          </v:shape>
          <o:OLEObject Type="Embed" ProgID="Equation.3" ShapeID="_x0000_i1228" DrawAspect="Content" ObjectID="_1550061496" r:id="rId391"/>
        </w:object>
      </w:r>
      <w:r w:rsidRPr="00481206">
        <w:rPr>
          <w:rFonts w:ascii="宋体" w:hAnsi="宋体" w:hint="eastAsia"/>
          <w:bCs/>
          <w:sz w:val="24"/>
        </w:rPr>
        <w:t>贷出至</w:t>
      </w:r>
      <w:r w:rsidRPr="00481206">
        <w:rPr>
          <w:rFonts w:ascii="宋体" w:hAnsi="宋体"/>
          <w:bCs/>
          <w:position w:val="-4"/>
          <w:sz w:val="24"/>
        </w:rPr>
        <w:object w:dxaOrig="300" w:dyaOrig="300">
          <v:shape id="_x0000_i1229" type="#_x0000_t75" style="width:15pt;height:15pt" o:ole="">
            <v:imagedata r:id="rId366" o:title=""/>
          </v:shape>
          <o:OLEObject Type="Embed" ProgID="Equation.3" ShapeID="_x0000_i1229" DrawAspect="Content" ObjectID="_1550061497" r:id="rId392"/>
        </w:object>
      </w:r>
      <w:r w:rsidRPr="00481206">
        <w:rPr>
          <w:rFonts w:ascii="宋体" w:hAnsi="宋体" w:hint="eastAsia"/>
          <w:bCs/>
          <w:sz w:val="24"/>
        </w:rPr>
        <w:t>时刻；</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（3）签订一份期限为</w:t>
      </w:r>
      <w:r w:rsidRPr="00481206">
        <w:rPr>
          <w:rFonts w:ascii="宋体" w:hAnsi="宋体"/>
          <w:bCs/>
          <w:position w:val="-4"/>
          <w:sz w:val="24"/>
        </w:rPr>
        <w:object w:dxaOrig="700" w:dyaOrig="300">
          <v:shape id="_x0000_i1230" type="#_x0000_t75" style="width:35.25pt;height:15pt" o:ole="">
            <v:imagedata r:id="rId354" o:title=""/>
          </v:shape>
          <o:OLEObject Type="Embed" ProgID="Equation.3" ShapeID="_x0000_i1230" DrawAspect="Content" ObjectID="_1550061498" r:id="rId393"/>
        </w:object>
      </w:r>
      <w:r w:rsidRPr="00481206">
        <w:rPr>
          <w:rFonts w:ascii="宋体" w:hAnsi="宋体" w:hint="eastAsia"/>
          <w:bCs/>
          <w:sz w:val="24"/>
        </w:rPr>
        <w:t>的FRA，约定在T时刻以</w:t>
      </w:r>
      <w:r w:rsidRPr="00481206">
        <w:rPr>
          <w:rFonts w:ascii="宋体" w:hAnsi="宋体"/>
          <w:bCs/>
          <w:position w:val="-10"/>
          <w:sz w:val="24"/>
        </w:rPr>
        <w:object w:dxaOrig="260" w:dyaOrig="340">
          <v:shape id="_x0000_i1231" type="#_x0000_t75" style="width:12.75pt;height:17.25pt" o:ole="">
            <v:imagedata r:id="rId371" o:title=""/>
          </v:shape>
          <o:OLEObject Type="Embed" ProgID="Equation.3" ShapeID="_x0000_i1231" DrawAspect="Content" ObjectID="_1550061499" r:id="rId394"/>
        </w:object>
      </w:r>
      <w:r w:rsidRPr="00481206">
        <w:rPr>
          <w:rFonts w:ascii="宋体" w:hAnsi="宋体" w:hint="eastAsia"/>
          <w:bCs/>
          <w:sz w:val="24"/>
        </w:rPr>
        <w:t>的协议利率借入</w:t>
      </w:r>
      <w:r w:rsidRPr="00481206">
        <w:rPr>
          <w:rFonts w:ascii="宋体" w:hAnsi="宋体"/>
          <w:bCs/>
          <w:position w:val="-6"/>
          <w:sz w:val="24"/>
        </w:rPr>
        <w:object w:dxaOrig="780" w:dyaOrig="320">
          <v:shape id="_x0000_i1232" type="#_x0000_t75" style="width:39pt;height:15.75pt" o:ole="">
            <v:imagedata r:id="rId395" o:title=""/>
          </v:shape>
          <o:OLEObject Type="Embed" ProgID="Equation.3" ShapeID="_x0000_i1232" DrawAspect="Content" ObjectID="_1550061500" r:id="rId396"/>
        </w:object>
      </w:r>
      <w:r w:rsidRPr="00481206">
        <w:rPr>
          <w:rFonts w:ascii="宋体" w:hAnsi="宋体" w:hint="eastAsia"/>
          <w:bCs/>
          <w:sz w:val="24"/>
        </w:rPr>
        <w:t>至</w:t>
      </w:r>
      <w:r w:rsidRPr="00481206">
        <w:rPr>
          <w:rFonts w:ascii="宋体" w:hAnsi="宋体"/>
          <w:bCs/>
          <w:position w:val="-4"/>
          <w:sz w:val="24"/>
        </w:rPr>
        <w:object w:dxaOrig="300" w:dyaOrig="300">
          <v:shape id="_x0000_i1233" type="#_x0000_t75" style="width:15pt;height:15pt" o:ole="">
            <v:imagedata r:id="rId366" o:title=""/>
          </v:shape>
          <o:OLEObject Type="Embed" ProgID="Equation.3" ShapeID="_x0000_i1233" DrawAspect="Content" ObjectID="_1550061501" r:id="rId397"/>
        </w:object>
      </w:r>
      <w:r w:rsidRPr="00481206">
        <w:rPr>
          <w:rFonts w:ascii="宋体" w:hAnsi="宋体" w:hint="eastAsia"/>
          <w:bCs/>
          <w:sz w:val="24"/>
        </w:rPr>
        <w:t>时刻；</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第二步：在T时刻：</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（1）从FRA中按照</w:t>
      </w:r>
      <w:r w:rsidRPr="00481206">
        <w:rPr>
          <w:rFonts w:ascii="宋体" w:hAnsi="宋体"/>
          <w:bCs/>
          <w:position w:val="-10"/>
          <w:sz w:val="24"/>
        </w:rPr>
        <w:object w:dxaOrig="260" w:dyaOrig="340">
          <v:shape id="_x0000_i1234" type="#_x0000_t75" style="width:12.75pt;height:17.25pt" o:ole="">
            <v:imagedata r:id="rId371" o:title=""/>
          </v:shape>
          <o:OLEObject Type="Embed" ProgID="Equation.3" ShapeID="_x0000_i1234" DrawAspect="Content" ObjectID="_1550061502" r:id="rId398"/>
        </w:object>
      </w:r>
      <w:r w:rsidRPr="00481206">
        <w:rPr>
          <w:rFonts w:ascii="宋体" w:hAnsi="宋体" w:hint="eastAsia"/>
          <w:bCs/>
          <w:sz w:val="24"/>
        </w:rPr>
        <w:t>的协议利率借入</w:t>
      </w:r>
      <w:r w:rsidRPr="00481206">
        <w:rPr>
          <w:rFonts w:ascii="宋体" w:hAnsi="宋体"/>
          <w:bCs/>
          <w:position w:val="-6"/>
          <w:sz w:val="24"/>
        </w:rPr>
        <w:object w:dxaOrig="780" w:dyaOrig="320">
          <v:shape id="_x0000_i1235" type="#_x0000_t75" style="width:39pt;height:15.75pt" o:ole="">
            <v:imagedata r:id="rId399" o:title=""/>
          </v:shape>
          <o:OLEObject Type="Embed" ProgID="Equation.3" ShapeID="_x0000_i1235" DrawAspect="Content" ObjectID="_1550061503" r:id="rId400"/>
        </w:object>
      </w:r>
      <w:r w:rsidRPr="00481206">
        <w:rPr>
          <w:rFonts w:ascii="宋体" w:hAnsi="宋体" w:hint="eastAsia"/>
          <w:bCs/>
          <w:sz w:val="24"/>
        </w:rPr>
        <w:t>；</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（2）将从FRA中借入的资金正好归还第一笔贷款；</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第三步：在</w:t>
      </w:r>
      <w:r w:rsidRPr="00481206">
        <w:rPr>
          <w:rFonts w:ascii="宋体" w:hAnsi="宋体"/>
          <w:bCs/>
          <w:position w:val="-4"/>
          <w:sz w:val="24"/>
        </w:rPr>
        <w:object w:dxaOrig="300" w:dyaOrig="300">
          <v:shape id="_x0000_i1236" type="#_x0000_t75" style="width:15pt;height:15pt" o:ole="">
            <v:imagedata r:id="rId348" o:title=""/>
          </v:shape>
          <o:OLEObject Type="Embed" ProgID="Equation.3" ShapeID="_x0000_i1236" DrawAspect="Content" ObjectID="_1550061504" r:id="rId401"/>
        </w:object>
      </w:r>
      <w:r w:rsidRPr="00481206">
        <w:rPr>
          <w:rFonts w:ascii="宋体" w:hAnsi="宋体" w:hint="eastAsia"/>
          <w:bCs/>
          <w:sz w:val="24"/>
        </w:rPr>
        <w:t>时刻：</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（1）收回长期贷款</w:t>
      </w:r>
      <w:r w:rsidRPr="00481206">
        <w:rPr>
          <w:rFonts w:ascii="宋体" w:hAnsi="宋体"/>
          <w:bCs/>
          <w:position w:val="-6"/>
          <w:sz w:val="24"/>
        </w:rPr>
        <w:object w:dxaOrig="1160" w:dyaOrig="360">
          <v:shape id="_x0000_i1237" type="#_x0000_t75" style="width:57.75pt;height:18pt" o:ole="">
            <v:imagedata r:id="rId402" o:title=""/>
          </v:shape>
          <o:OLEObject Type="Embed" ProgID="Equation.3" ShapeID="_x0000_i1237" DrawAspect="Content" ObjectID="_1550061505" r:id="rId403"/>
        </w:objec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（2）还掉FRA的借款本息，即</w:t>
      </w:r>
      <w:r w:rsidRPr="00481206">
        <w:rPr>
          <w:rFonts w:ascii="宋体" w:hAnsi="宋体"/>
          <w:bCs/>
          <w:position w:val="-6"/>
          <w:sz w:val="24"/>
        </w:rPr>
        <w:object w:dxaOrig="1920" w:dyaOrig="360">
          <v:shape id="_x0000_i1238" type="#_x0000_t75" style="width:96pt;height:18pt" o:ole="">
            <v:imagedata r:id="rId404" o:title=""/>
          </v:shape>
          <o:OLEObject Type="Embed" ProgID="Equation.3" ShapeID="_x0000_i1238" DrawAspect="Content" ObjectID="_1550061506" r:id="rId405"/>
        </w:object>
      </w:r>
      <w:r w:rsidRPr="00481206">
        <w:rPr>
          <w:rFonts w:ascii="宋体" w:hAnsi="宋体" w:hint="eastAsia"/>
          <w:bCs/>
          <w:sz w:val="24"/>
        </w:rPr>
        <w:t>，获得无风险收益；</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因此，</w:t>
      </w:r>
      <w:r w:rsidRPr="00481206">
        <w:rPr>
          <w:rFonts w:ascii="宋体" w:hAnsi="宋体"/>
          <w:bCs/>
          <w:position w:val="-4"/>
          <w:sz w:val="24"/>
        </w:rPr>
        <w:object w:dxaOrig="180" w:dyaOrig="200">
          <v:shape id="_x0000_i1239" type="#_x0000_t75" style="width:9pt;height:9.75pt" o:ole="">
            <v:imagedata r:id="rId368" o:title=""/>
          </v:shape>
          <o:OLEObject Type="Embed" ProgID="Equation.3" ShapeID="_x0000_i1239" DrawAspect="Content" ObjectID="_1550061507" r:id="rId406"/>
        </w:object>
      </w:r>
      <w:r w:rsidRPr="00481206">
        <w:rPr>
          <w:rFonts w:ascii="宋体" w:hAnsi="宋体" w:hint="eastAsia"/>
          <w:bCs/>
          <w:sz w:val="24"/>
        </w:rPr>
        <w:t>和</w:t>
      </w:r>
      <w:r w:rsidRPr="00481206">
        <w:rPr>
          <w:rFonts w:ascii="宋体" w:hAnsi="宋体"/>
          <w:bCs/>
          <w:position w:val="-10"/>
          <w:sz w:val="24"/>
        </w:rPr>
        <w:object w:dxaOrig="260" w:dyaOrig="340">
          <v:shape id="_x0000_i1240" type="#_x0000_t75" style="width:12.75pt;height:17.25pt" o:ole="">
            <v:imagedata r:id="rId371" o:title=""/>
          </v:shape>
          <o:OLEObject Type="Embed" ProgID="Equation.3" ShapeID="_x0000_i1240" DrawAspect="Content" ObjectID="_1550061508" r:id="rId407"/>
        </w:object>
      </w:r>
      <w:r w:rsidRPr="00481206">
        <w:rPr>
          <w:rFonts w:ascii="宋体" w:hAnsi="宋体" w:hint="eastAsia"/>
          <w:bCs/>
          <w:sz w:val="24"/>
        </w:rPr>
        <w:t>趋于上升，</w:t>
      </w:r>
      <w:r w:rsidRPr="00481206">
        <w:rPr>
          <w:rFonts w:ascii="宋体" w:hAnsi="宋体"/>
          <w:bCs/>
          <w:position w:val="-4"/>
          <w:sz w:val="24"/>
        </w:rPr>
        <w:object w:dxaOrig="260" w:dyaOrig="300">
          <v:shape id="_x0000_i1241" type="#_x0000_t75" style="width:12.75pt;height:15pt" o:ole="">
            <v:imagedata r:id="rId386" o:title=""/>
          </v:shape>
          <o:OLEObject Type="Embed" ProgID="Equation.3" ShapeID="_x0000_i1241" DrawAspect="Content" ObjectID="_1550061509" r:id="rId408"/>
        </w:object>
      </w:r>
      <w:r w:rsidRPr="00481206">
        <w:rPr>
          <w:rFonts w:ascii="宋体" w:hAnsi="宋体" w:hint="eastAsia"/>
          <w:bCs/>
          <w:sz w:val="24"/>
        </w:rPr>
        <w:t>趋于下降，最终：</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10"/>
          <w:sz w:val="24"/>
        </w:rPr>
        <w:object w:dxaOrig="3240" w:dyaOrig="360">
          <v:shape id="_x0000_i1242" type="#_x0000_t75" style="width:162pt;height:18pt" o:ole="">
            <v:imagedata r:id="rId360" o:title=""/>
          </v:shape>
          <o:OLEObject Type="Embed" ProgID="Equation.3" ShapeID="_x0000_i1242" DrawAspect="Content" ObjectID="_1550061510" r:id="rId409"/>
        </w:objec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所以，我们根据这个均衡等式，得出远期利率计算公式为：</w:t>
      </w:r>
    </w:p>
    <w:p w:rsidR="00481206" w:rsidRPr="00481206" w:rsidRDefault="00481206" w:rsidP="00481206">
      <w:pPr>
        <w:spacing w:line="360" w:lineRule="auto"/>
        <w:ind w:firstLineChars="200" w:firstLine="480"/>
        <w:rPr>
          <w:rFonts w:ascii="宋体" w:hAnsi="宋体"/>
          <w:sz w:val="24"/>
        </w:rPr>
      </w:pPr>
      <w:r w:rsidRPr="00481206">
        <w:rPr>
          <w:rFonts w:ascii="宋体" w:hAnsi="宋体"/>
          <w:position w:val="-24"/>
          <w:sz w:val="24"/>
        </w:rPr>
        <w:object w:dxaOrig="2480" w:dyaOrig="660">
          <v:shape id="_x0000_i1243" type="#_x0000_t75" style="width:123.75pt;height:33pt" o:ole="">
            <v:imagedata r:id="rId410" o:title=""/>
          </v:shape>
          <o:OLEObject Type="Embed" ProgID="Equation.3" ShapeID="_x0000_i1243" DrawAspect="Content" ObjectID="_1550061511" r:id="rId411"/>
        </w:objec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即：</w:t>
      </w:r>
    </w:p>
    <w:p w:rsidR="00481206" w:rsidRPr="00481206" w:rsidRDefault="00481206" w:rsidP="00481206">
      <w:pPr>
        <w:spacing w:line="360" w:lineRule="auto"/>
        <w:ind w:firstLineChars="200" w:firstLine="480"/>
        <w:rPr>
          <w:rFonts w:ascii="宋体" w:hAnsi="宋体"/>
          <w:sz w:val="24"/>
        </w:rPr>
      </w:pPr>
      <w:r w:rsidRPr="00481206">
        <w:rPr>
          <w:rFonts w:ascii="宋体" w:hAnsi="宋体"/>
          <w:position w:val="-24"/>
          <w:sz w:val="24"/>
        </w:rPr>
        <w:object w:dxaOrig="2580" w:dyaOrig="620">
          <v:shape id="_x0000_i1244" type="#_x0000_t75" style="width:129pt;height:30.75pt" o:ole="">
            <v:imagedata r:id="rId412" o:title=""/>
          </v:shape>
          <o:OLEObject Type="Embed" ProgID="Equation.3" ShapeID="_x0000_i1244" DrawAspect="Content" ObjectID="_1550061512" r:id="rId413"/>
        </w:object>
      </w:r>
    </w:p>
    <w:p w:rsidR="00481206" w:rsidRPr="00481206" w:rsidRDefault="00481206" w:rsidP="00481206">
      <w:pPr>
        <w:spacing w:line="360" w:lineRule="auto"/>
        <w:ind w:firstLineChars="200" w:firstLine="480"/>
        <w:rPr>
          <w:bCs/>
          <w:sz w:val="24"/>
        </w:rPr>
      </w:pPr>
      <w:r w:rsidRPr="00481206">
        <w:rPr>
          <w:rFonts w:ascii="宋体" w:hAnsi="宋体" w:hint="eastAsia"/>
          <w:sz w:val="24"/>
        </w:rPr>
        <w:t>因此，从上式可以看出，如果即期利率期限结构（关于利率期限结构的概念，可参考《金融市场学》，张亦春主编，第十章）在</w:t>
      </w:r>
      <w:r w:rsidRPr="00481206">
        <w:rPr>
          <w:rFonts w:ascii="宋体" w:hAnsi="宋体"/>
          <w:bCs/>
          <w:position w:val="-4"/>
          <w:sz w:val="24"/>
        </w:rPr>
        <w:object w:dxaOrig="700" w:dyaOrig="300">
          <v:shape id="_x0000_i1245" type="#_x0000_t75" style="width:35.25pt;height:15pt" o:ole="">
            <v:imagedata r:id="rId354" o:title=""/>
          </v:shape>
          <o:OLEObject Type="Embed" ProgID="Equation.3" ShapeID="_x0000_i1245" DrawAspect="Content" ObjectID="_1550061513" r:id="rId414"/>
        </w:object>
      </w:r>
      <w:r w:rsidRPr="00481206">
        <w:rPr>
          <w:rFonts w:ascii="宋体" w:hAnsi="宋体" w:hint="eastAsia"/>
          <w:bCs/>
          <w:sz w:val="24"/>
        </w:rPr>
        <w:t>期间上是向上倾斜的，即</w:t>
      </w:r>
      <w:r w:rsidRPr="00481206">
        <w:rPr>
          <w:rFonts w:ascii="宋体" w:hAnsi="宋体"/>
          <w:bCs/>
          <w:position w:val="-4"/>
          <w:sz w:val="24"/>
        </w:rPr>
        <w:object w:dxaOrig="660" w:dyaOrig="300">
          <v:shape id="_x0000_i1246" type="#_x0000_t75" style="width:33pt;height:15pt" o:ole="">
            <v:imagedata r:id="rId415" o:title=""/>
          </v:shape>
          <o:OLEObject Type="Embed" ProgID="Equation.3" ShapeID="_x0000_i1246" DrawAspect="Content" ObjectID="_1550061514" r:id="rId416"/>
        </w:object>
      </w:r>
      <w:r w:rsidRPr="00481206">
        <w:rPr>
          <w:rFonts w:ascii="宋体" w:hAnsi="宋体" w:hint="eastAsia"/>
          <w:bCs/>
          <w:sz w:val="24"/>
        </w:rPr>
        <w:t>，则</w:t>
      </w:r>
      <w:r w:rsidRPr="00481206">
        <w:rPr>
          <w:rFonts w:ascii="宋体" w:hAnsi="宋体"/>
          <w:bCs/>
          <w:position w:val="-10"/>
          <w:sz w:val="24"/>
        </w:rPr>
        <w:object w:dxaOrig="740" w:dyaOrig="360">
          <v:shape id="_x0000_i1247" type="#_x0000_t75" style="width:36.75pt;height:18pt" o:ole="">
            <v:imagedata r:id="rId417" o:title=""/>
          </v:shape>
          <o:OLEObject Type="Embed" ProgID="Equation.3" ShapeID="_x0000_i1247" DrawAspect="Content" ObjectID="_1550061515" r:id="rId418"/>
        </w:object>
      </w:r>
      <w:r w:rsidRPr="00481206">
        <w:rPr>
          <w:rFonts w:ascii="宋体" w:hAnsi="宋体" w:hint="eastAsia"/>
          <w:bCs/>
          <w:sz w:val="24"/>
        </w:rPr>
        <w:t>；如果即期利率期限结构在</w:t>
      </w:r>
      <w:r w:rsidRPr="00481206">
        <w:rPr>
          <w:rFonts w:ascii="宋体" w:hAnsi="宋体"/>
          <w:bCs/>
          <w:position w:val="-4"/>
          <w:sz w:val="24"/>
        </w:rPr>
        <w:object w:dxaOrig="700" w:dyaOrig="300">
          <v:shape id="_x0000_i1248" type="#_x0000_t75" style="width:35.25pt;height:15pt" o:ole="">
            <v:imagedata r:id="rId354" o:title=""/>
          </v:shape>
          <o:OLEObject Type="Embed" ProgID="Equation.3" ShapeID="_x0000_i1248" DrawAspect="Content" ObjectID="_1550061516" r:id="rId419"/>
        </w:object>
      </w:r>
      <w:r w:rsidRPr="00481206">
        <w:rPr>
          <w:rFonts w:ascii="宋体" w:hAnsi="宋体" w:hint="eastAsia"/>
          <w:bCs/>
          <w:sz w:val="24"/>
        </w:rPr>
        <w:t>期间是向下倾斜的，即</w:t>
      </w:r>
      <w:r w:rsidRPr="00481206">
        <w:rPr>
          <w:rFonts w:ascii="宋体" w:hAnsi="宋体"/>
          <w:bCs/>
          <w:position w:val="-4"/>
          <w:sz w:val="24"/>
        </w:rPr>
        <w:object w:dxaOrig="639" w:dyaOrig="300">
          <v:shape id="_x0000_i1249" type="#_x0000_t75" style="width:32.25pt;height:15pt" o:ole="">
            <v:imagedata r:id="rId420" o:title=""/>
          </v:shape>
          <o:OLEObject Type="Embed" ProgID="Equation.3" ShapeID="_x0000_i1249" DrawAspect="Content" ObjectID="_1550061517" r:id="rId421"/>
        </w:object>
      </w:r>
      <w:r w:rsidRPr="00481206">
        <w:rPr>
          <w:rFonts w:ascii="宋体" w:hAnsi="宋体" w:hint="eastAsia"/>
          <w:bCs/>
          <w:sz w:val="24"/>
        </w:rPr>
        <w:t>，则</w:t>
      </w:r>
      <w:r w:rsidRPr="00481206">
        <w:rPr>
          <w:rFonts w:ascii="宋体" w:hAnsi="宋体"/>
          <w:bCs/>
          <w:position w:val="-10"/>
          <w:sz w:val="24"/>
        </w:rPr>
        <w:object w:dxaOrig="740" w:dyaOrig="360">
          <v:shape id="_x0000_i1250" type="#_x0000_t75" style="width:36.75pt;height:18pt" o:ole="">
            <v:imagedata r:id="rId422" o:title=""/>
          </v:shape>
          <o:OLEObject Type="Embed" ProgID="Equation.3" ShapeID="_x0000_i1250" DrawAspect="Content" ObjectID="_1550061518" r:id="rId423"/>
        </w:object>
      </w:r>
      <w:r w:rsidRPr="00481206">
        <w:rPr>
          <w:rFonts w:ascii="宋体" w:hAnsi="宋体" w:hint="eastAsia"/>
          <w:bCs/>
          <w:sz w:val="24"/>
        </w:rPr>
        <w:t>。</w:t>
      </w:r>
    </w:p>
    <w:p w:rsidR="00481206" w:rsidRPr="00481206" w:rsidRDefault="00481206" w:rsidP="00481206">
      <w:pPr>
        <w:spacing w:line="360" w:lineRule="auto"/>
        <w:ind w:firstLineChars="200" w:firstLine="480"/>
        <w:outlineLvl w:val="1"/>
        <w:rPr>
          <w:rFonts w:ascii="宋体" w:hAnsi="宋体" w:cs="宋体"/>
          <w:bCs/>
          <w:sz w:val="24"/>
        </w:rPr>
      </w:pPr>
      <w:bookmarkStart w:id="549" w:name="_Toc444350284"/>
      <w:bookmarkStart w:id="550" w:name="_Toc474271759"/>
      <w:r w:rsidRPr="00481206">
        <w:rPr>
          <w:rFonts w:ascii="宋体" w:hAnsi="宋体" w:cs="宋体" w:hint="eastAsia"/>
          <w:bCs/>
          <w:sz w:val="24"/>
        </w:rPr>
        <w:t>7.4.5教学方法</w:t>
      </w:r>
      <w:bookmarkEnd w:id="524"/>
      <w:bookmarkEnd w:id="549"/>
      <w:bookmarkEnd w:id="550"/>
    </w:p>
    <w:p w:rsidR="00481206" w:rsidRPr="00481206" w:rsidRDefault="00481206" w:rsidP="00481206">
      <w:pPr>
        <w:spacing w:line="360" w:lineRule="auto"/>
        <w:ind w:firstLineChars="200" w:firstLine="480"/>
        <w:outlineLvl w:val="1"/>
        <w:rPr>
          <w:rFonts w:ascii="宋体" w:hAnsi="宋体" w:cs="宋体"/>
          <w:sz w:val="24"/>
        </w:rPr>
      </w:pPr>
      <w:bookmarkStart w:id="551" w:name="_Toc430423604"/>
      <w:bookmarkStart w:id="552" w:name="_Toc444350285"/>
      <w:bookmarkStart w:id="553" w:name="_Toc474271760"/>
      <w:r w:rsidRPr="00481206">
        <w:rPr>
          <w:rFonts w:ascii="宋体" w:hAnsi="宋体" w:cs="宋体" w:hint="eastAsia"/>
          <w:sz w:val="24"/>
        </w:rPr>
        <w:t>课堂讲授；设问；案例分析。</w:t>
      </w:r>
      <w:bookmarkEnd w:id="551"/>
      <w:bookmarkEnd w:id="552"/>
      <w:bookmarkEnd w:id="553"/>
    </w:p>
    <w:p w:rsidR="00481206" w:rsidRPr="00481206" w:rsidRDefault="00481206" w:rsidP="00481206">
      <w:pPr>
        <w:spacing w:line="360" w:lineRule="auto"/>
        <w:ind w:firstLine="480"/>
        <w:outlineLvl w:val="1"/>
        <w:rPr>
          <w:rFonts w:ascii="宋体" w:hAnsi="宋体" w:cs="宋体"/>
          <w:sz w:val="24"/>
        </w:rPr>
      </w:pPr>
      <w:bookmarkStart w:id="554" w:name="_Toc430423605"/>
      <w:bookmarkStart w:id="555" w:name="_Toc444350286"/>
      <w:bookmarkStart w:id="556" w:name="_Toc474271761"/>
      <w:r w:rsidRPr="00481206">
        <w:rPr>
          <w:rFonts w:ascii="宋体" w:hAnsi="宋体" w:cs="宋体" w:hint="eastAsia"/>
          <w:bCs/>
          <w:sz w:val="24"/>
        </w:rPr>
        <w:t>7.4.6作业安排及课后反思</w:t>
      </w:r>
      <w:bookmarkEnd w:id="554"/>
      <w:bookmarkEnd w:id="555"/>
      <w:bookmarkEnd w:id="556"/>
      <w:r w:rsidRPr="00481206">
        <w:rPr>
          <w:rFonts w:ascii="宋体" w:hAnsi="宋体" w:cs="宋体" w:hint="eastAsia"/>
          <w:sz w:val="24"/>
        </w:rPr>
        <w:tab/>
      </w:r>
    </w:p>
    <w:p w:rsidR="00481206" w:rsidRPr="00481206" w:rsidRDefault="00481206" w:rsidP="00481206">
      <w:pPr>
        <w:spacing w:line="360" w:lineRule="auto"/>
        <w:ind w:firstLine="480"/>
        <w:outlineLvl w:val="1"/>
        <w:rPr>
          <w:rFonts w:ascii="宋体" w:hAnsi="宋体" w:cs="宋体"/>
          <w:bCs/>
          <w:sz w:val="24"/>
        </w:rPr>
      </w:pPr>
      <w:bookmarkStart w:id="557" w:name="_Toc444350287"/>
      <w:bookmarkStart w:id="558" w:name="_Toc474271762"/>
      <w:r w:rsidRPr="00481206">
        <w:rPr>
          <w:rFonts w:ascii="宋体" w:hAnsi="宋体" w:cs="宋体" w:hint="eastAsia"/>
          <w:bCs/>
          <w:sz w:val="24"/>
        </w:rPr>
        <w:t>1）假设一种无红利支付的股票目前的市价为 20 元，无风险连续复利年利率为10%，求该股票3个月期远期价格。</w:t>
      </w:r>
      <w:bookmarkEnd w:id="557"/>
      <w:bookmarkEnd w:id="558"/>
    </w:p>
    <w:p w:rsidR="00481206" w:rsidRPr="00481206" w:rsidRDefault="00481206" w:rsidP="00481206">
      <w:pPr>
        <w:spacing w:line="360" w:lineRule="auto"/>
        <w:ind w:firstLineChars="200" w:firstLine="480"/>
        <w:outlineLvl w:val="1"/>
        <w:rPr>
          <w:rFonts w:ascii="宋体" w:hAnsi="宋体" w:cs="宋体"/>
          <w:sz w:val="24"/>
        </w:rPr>
      </w:pPr>
      <w:bookmarkStart w:id="559" w:name="_Toc444350288"/>
      <w:bookmarkStart w:id="560" w:name="_Toc474271763"/>
      <w:r w:rsidRPr="00481206">
        <w:rPr>
          <w:rFonts w:ascii="宋体" w:hAnsi="宋体" w:cs="宋体" w:hint="eastAsia"/>
          <w:sz w:val="24"/>
        </w:rPr>
        <w:t>2）假设恒生指数目前为10000点，香港无风险连续复利年利率为10%，恒生指数股息收益率为每年3%，求该指数4个月期的期货价格。</w:t>
      </w:r>
      <w:bookmarkEnd w:id="559"/>
      <w:bookmarkEnd w:id="560"/>
    </w:p>
    <w:p w:rsidR="00481206" w:rsidRPr="00481206" w:rsidRDefault="00481206" w:rsidP="00481206">
      <w:pPr>
        <w:spacing w:line="360" w:lineRule="auto"/>
        <w:ind w:leftChars="57" w:left="120" w:firstLineChars="100" w:firstLine="240"/>
        <w:outlineLvl w:val="1"/>
        <w:rPr>
          <w:rFonts w:ascii="宋体" w:hAnsi="宋体" w:cs="宋体"/>
          <w:sz w:val="24"/>
        </w:rPr>
      </w:pPr>
      <w:r w:rsidRPr="00481206">
        <w:rPr>
          <w:rFonts w:ascii="宋体" w:hAnsi="宋体" w:cs="宋体" w:hint="eastAsia"/>
          <w:sz w:val="24"/>
        </w:rPr>
        <w:t xml:space="preserve"> </w:t>
      </w:r>
      <w:bookmarkStart w:id="561" w:name="_Toc444350289"/>
      <w:bookmarkStart w:id="562" w:name="_Toc474271764"/>
      <w:r w:rsidRPr="00481206">
        <w:rPr>
          <w:rFonts w:ascii="宋体" w:hAnsi="宋体" w:cs="宋体" w:hint="eastAsia"/>
          <w:sz w:val="24"/>
        </w:rPr>
        <w:t>3）某股票预计在2个月和5个月后每股分别派发1元股息，该股票目前市价等于30，所有期限的无风险连续复利年利率均为6%，某投资者刚取得该股票6个月期的远期合约空头，请问：该远期合约理论价格等于多少？</w:t>
      </w:r>
      <w:bookmarkEnd w:id="561"/>
      <w:bookmarkEnd w:id="562"/>
    </w:p>
    <w:p w:rsidR="00481206" w:rsidRPr="00481206" w:rsidRDefault="00481206" w:rsidP="00481206">
      <w:pPr>
        <w:spacing w:line="360" w:lineRule="auto"/>
        <w:ind w:firstLineChars="200" w:firstLine="480"/>
        <w:outlineLvl w:val="1"/>
        <w:rPr>
          <w:rFonts w:ascii="宋体" w:hAnsi="宋体" w:cs="宋体"/>
          <w:sz w:val="24"/>
        </w:rPr>
      </w:pPr>
      <w:bookmarkStart w:id="563" w:name="_Toc444350290"/>
      <w:bookmarkStart w:id="564" w:name="_Toc474271765"/>
      <w:r w:rsidRPr="00481206">
        <w:rPr>
          <w:rFonts w:ascii="宋体" w:hAnsi="宋体" w:cs="宋体" w:hint="eastAsia"/>
          <w:sz w:val="24"/>
        </w:rPr>
        <w:t>4）瑞士和美国两个月连续复利率分别为2%和 7%，瑞士法郎的现货汇率为0.6500美元， 2 个月期的瑞士法郎期货价格为0.6600美元，请问有无套利机会？</w:t>
      </w:r>
      <w:bookmarkEnd w:id="563"/>
      <w:bookmarkEnd w:id="564"/>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bCs/>
          <w:sz w:val="24"/>
        </w:rPr>
        <w:t xml:space="preserve">    </w:t>
      </w:r>
      <w:bookmarkStart w:id="565" w:name="_Toc430423614"/>
      <w:bookmarkStart w:id="566" w:name="_Toc444350291"/>
      <w:bookmarkStart w:id="567" w:name="_Toc474271766"/>
      <w:r w:rsidRPr="00481206">
        <w:rPr>
          <w:rFonts w:ascii="宋体" w:hAnsi="宋体" w:cs="宋体" w:hint="eastAsia"/>
          <w:bCs/>
          <w:sz w:val="24"/>
        </w:rPr>
        <w:t>7.4.7课前准备情况及其他相关特殊要求</w:t>
      </w:r>
      <w:bookmarkEnd w:id="565"/>
      <w:bookmarkEnd w:id="566"/>
      <w:bookmarkEnd w:id="567"/>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568" w:name="_Toc430423615"/>
      <w:bookmarkStart w:id="569" w:name="_Toc444350292"/>
      <w:bookmarkStart w:id="570" w:name="_Toc474271767"/>
      <w:r w:rsidRPr="00481206">
        <w:rPr>
          <w:rFonts w:ascii="宋体" w:hAnsi="宋体" w:cs="宋体" w:hint="eastAsia"/>
          <w:bCs/>
          <w:sz w:val="24"/>
        </w:rPr>
        <w:t>教师：</w:t>
      </w:r>
      <w:r w:rsidRPr="00481206">
        <w:rPr>
          <w:rFonts w:ascii="宋体" w:hAnsi="宋体" w:cs="宋体" w:hint="eastAsia"/>
          <w:sz w:val="24"/>
        </w:rPr>
        <w:t>熟悉课程教学要点；梳理实施方案，明确执行步骤；准备经验素材。</w:t>
      </w:r>
      <w:bookmarkEnd w:id="568"/>
      <w:bookmarkEnd w:id="569"/>
      <w:bookmarkEnd w:id="570"/>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571" w:name="_Toc430423616"/>
      <w:bookmarkStart w:id="572" w:name="_Toc444350293"/>
      <w:bookmarkStart w:id="573" w:name="_Toc474271768"/>
      <w:r w:rsidRPr="00481206">
        <w:rPr>
          <w:rFonts w:ascii="宋体" w:hAnsi="宋体" w:cs="宋体" w:hint="eastAsia"/>
          <w:bCs/>
          <w:sz w:val="24"/>
        </w:rPr>
        <w:t>学生：</w:t>
      </w:r>
      <w:r w:rsidRPr="00481206">
        <w:rPr>
          <w:rFonts w:ascii="宋体" w:hAnsi="宋体" w:cs="宋体" w:hint="eastAsia"/>
          <w:sz w:val="24"/>
        </w:rPr>
        <w:t>预习本章内容。</w:t>
      </w:r>
      <w:bookmarkEnd w:id="571"/>
      <w:bookmarkEnd w:id="572"/>
      <w:bookmarkEnd w:id="573"/>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bCs/>
          <w:sz w:val="24"/>
        </w:rPr>
        <w:t xml:space="preserve">    </w:t>
      </w:r>
      <w:bookmarkStart w:id="574" w:name="_Toc430423617"/>
      <w:bookmarkStart w:id="575" w:name="_Toc444350294"/>
      <w:bookmarkStart w:id="576" w:name="_Toc474271769"/>
      <w:r w:rsidRPr="00481206">
        <w:rPr>
          <w:rFonts w:ascii="宋体" w:hAnsi="宋体" w:cs="宋体" w:hint="eastAsia"/>
          <w:bCs/>
          <w:sz w:val="24"/>
        </w:rPr>
        <w:t>7.4.8参考资料</w:t>
      </w:r>
      <w:bookmarkEnd w:id="574"/>
      <w:bookmarkEnd w:id="575"/>
      <w:bookmarkEnd w:id="576"/>
    </w:p>
    <w:p w:rsidR="00481206" w:rsidRPr="00481206" w:rsidRDefault="00481206" w:rsidP="00481206">
      <w:pPr>
        <w:spacing w:line="360" w:lineRule="auto"/>
        <w:ind w:firstLineChars="200" w:firstLine="480"/>
        <w:outlineLvl w:val="1"/>
        <w:rPr>
          <w:rFonts w:ascii="宋体" w:hAnsi="宋体" w:cs="宋体"/>
          <w:sz w:val="24"/>
        </w:rPr>
      </w:pPr>
      <w:bookmarkStart w:id="577" w:name="_Toc444350295"/>
      <w:bookmarkStart w:id="578" w:name="_Toc474271770"/>
      <w:r w:rsidRPr="00481206">
        <w:rPr>
          <w:rFonts w:ascii="宋体" w:hAnsi="宋体" w:hint="eastAsia"/>
          <w:sz w:val="24"/>
        </w:rPr>
        <w:t>高鸿业.西方及经济学学习与教学手册（第二版）[M],北京：中国人民大学出版社，  2007.</w:t>
      </w:r>
      <w:bookmarkEnd w:id="577"/>
      <w:bookmarkEnd w:id="578"/>
    </w:p>
    <w:p w:rsidR="00481206" w:rsidRPr="00481206" w:rsidRDefault="00481206" w:rsidP="00481206">
      <w:pPr>
        <w:spacing w:line="360" w:lineRule="auto"/>
        <w:ind w:firstLineChars="200" w:firstLine="480"/>
        <w:outlineLvl w:val="1"/>
        <w:rPr>
          <w:rFonts w:ascii="宋体" w:hAnsi="宋体" w:cs="宋体"/>
          <w:bCs/>
          <w:sz w:val="24"/>
        </w:rPr>
      </w:pPr>
      <w:bookmarkStart w:id="579" w:name="_Toc444350296"/>
      <w:bookmarkStart w:id="580" w:name="_Toc474271771"/>
      <w:r w:rsidRPr="00481206">
        <w:rPr>
          <w:rFonts w:ascii="宋体" w:hAnsi="宋体" w:cs="宋体" w:hint="eastAsia"/>
          <w:bCs/>
          <w:sz w:val="24"/>
        </w:rPr>
        <w:t>任映国.国际投资学</w:t>
      </w:r>
      <w:r w:rsidRPr="00481206">
        <w:rPr>
          <w:rFonts w:ascii="宋体" w:hAnsi="宋体" w:cs="宋体" w:hint="eastAsia"/>
          <w:sz w:val="24"/>
        </w:rPr>
        <w:t>[M]</w:t>
      </w:r>
      <w:r w:rsidRPr="00481206">
        <w:rPr>
          <w:rFonts w:ascii="宋体" w:hAnsi="宋体" w:cs="宋体" w:hint="eastAsia"/>
          <w:bCs/>
          <w:sz w:val="24"/>
        </w:rPr>
        <w:t>，北京：中国金融出版社出版社，2001.</w:t>
      </w:r>
      <w:bookmarkEnd w:id="579"/>
      <w:bookmarkEnd w:id="580"/>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陈信华.金融衍生工具[M],上海：上海财经大学出版社，2009.</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叶永刚.衍生金融工具[M],中国金融出版社,2004.</w:t>
      </w:r>
    </w:p>
    <w:p w:rsidR="00481206" w:rsidRPr="00481206" w:rsidRDefault="00481206" w:rsidP="00481206">
      <w:pPr>
        <w:spacing w:line="360" w:lineRule="auto"/>
        <w:ind w:firstLineChars="196" w:firstLine="470"/>
        <w:rPr>
          <w:rFonts w:ascii="宋体" w:hAnsi="宋体"/>
          <w:sz w:val="24"/>
        </w:rPr>
      </w:pPr>
      <w:r w:rsidRPr="00481206">
        <w:rPr>
          <w:rFonts w:ascii="宋体" w:hAnsi="宋体" w:hint="eastAsia"/>
          <w:sz w:val="24"/>
        </w:rPr>
        <w:t>赫尔著.期权、期货和其他衍生品[M],华夏出版社,2011.</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sz w:val="24"/>
        </w:rPr>
        <w:t>Hull,John C. Option,Futures and Other Derivative Securities(Fourth Edition) [M],2000.</w:t>
      </w:r>
    </w:p>
    <w:p w:rsidR="00481206" w:rsidRPr="00481206" w:rsidRDefault="00481206" w:rsidP="00481206">
      <w:pPr>
        <w:pStyle w:val="3"/>
        <w:spacing w:before="0" w:after="0" w:line="360" w:lineRule="auto"/>
        <w:rPr>
          <w:rFonts w:ascii="宋体" w:hAnsi="宋体" w:cs="宋体"/>
          <w:bCs w:val="0"/>
          <w:sz w:val="28"/>
        </w:rPr>
      </w:pPr>
      <w:bookmarkStart w:id="581" w:name="_Toc474271772"/>
      <w:r w:rsidRPr="00481206">
        <w:rPr>
          <w:rFonts w:ascii="宋体" w:hAnsi="宋体" w:cs="宋体" w:hint="eastAsia"/>
          <w:bCs w:val="0"/>
          <w:sz w:val="28"/>
        </w:rPr>
        <w:t>7.5第五单元（共2讲）</w:t>
      </w:r>
      <w:bookmarkEnd w:id="581"/>
    </w:p>
    <w:p w:rsidR="00481206" w:rsidRPr="00481206" w:rsidRDefault="00481206" w:rsidP="00481206">
      <w:pPr>
        <w:spacing w:line="360" w:lineRule="auto"/>
        <w:ind w:firstLineChars="200" w:firstLine="480"/>
        <w:outlineLvl w:val="1"/>
        <w:rPr>
          <w:rFonts w:ascii="宋体" w:hAnsi="宋体" w:cs="宋体"/>
          <w:bCs/>
          <w:sz w:val="24"/>
        </w:rPr>
      </w:pPr>
      <w:bookmarkStart w:id="582" w:name="_Toc430423628"/>
      <w:bookmarkStart w:id="583" w:name="_Toc444350298"/>
      <w:bookmarkStart w:id="584" w:name="_Toc474271773"/>
      <w:r w:rsidRPr="00481206">
        <w:rPr>
          <w:rFonts w:ascii="宋体" w:hAnsi="宋体" w:cs="宋体" w:hint="eastAsia"/>
          <w:bCs/>
          <w:sz w:val="24"/>
        </w:rPr>
        <w:t>7.5.1教学日期</w:t>
      </w:r>
      <w:bookmarkEnd w:id="582"/>
      <w:bookmarkEnd w:id="583"/>
      <w:bookmarkEnd w:id="584"/>
    </w:p>
    <w:p w:rsidR="00481206" w:rsidRPr="00481206" w:rsidRDefault="00F63757" w:rsidP="00481206">
      <w:pPr>
        <w:spacing w:line="360" w:lineRule="auto"/>
        <w:ind w:firstLineChars="200" w:firstLine="480"/>
        <w:outlineLvl w:val="1"/>
        <w:rPr>
          <w:rFonts w:ascii="宋体" w:hAnsi="宋体" w:cs="宋体"/>
          <w:sz w:val="24"/>
        </w:rPr>
      </w:pPr>
      <w:bookmarkStart w:id="585" w:name="_Toc444350299"/>
      <w:bookmarkStart w:id="586" w:name="_Toc474271774"/>
      <w:r>
        <w:rPr>
          <w:rFonts w:ascii="宋体" w:hAnsi="宋体" w:cs="宋体" w:hint="eastAsia"/>
          <w:sz w:val="24"/>
        </w:rPr>
        <w:t>2017</w:t>
      </w:r>
      <w:r w:rsidR="00481206" w:rsidRPr="00481206">
        <w:rPr>
          <w:rFonts w:ascii="宋体" w:hAnsi="宋体" w:cs="宋体" w:hint="eastAsia"/>
          <w:sz w:val="24"/>
        </w:rPr>
        <w:t>年</w:t>
      </w:r>
      <w:r>
        <w:rPr>
          <w:rFonts w:ascii="宋体" w:hAnsi="宋体" w:cs="宋体" w:hint="eastAsia"/>
          <w:sz w:val="24"/>
        </w:rPr>
        <w:t>6</w:t>
      </w:r>
      <w:r w:rsidR="00481206" w:rsidRPr="00481206">
        <w:rPr>
          <w:rFonts w:ascii="宋体" w:hAnsi="宋体" w:cs="宋体" w:hint="eastAsia"/>
          <w:sz w:val="24"/>
        </w:rPr>
        <w:t>月</w:t>
      </w:r>
      <w:r>
        <w:rPr>
          <w:rFonts w:ascii="宋体" w:hAnsi="宋体" w:cs="宋体" w:hint="eastAsia"/>
          <w:sz w:val="24"/>
        </w:rPr>
        <w:t>6</w:t>
      </w:r>
      <w:r w:rsidR="00481206" w:rsidRPr="00481206">
        <w:rPr>
          <w:rFonts w:ascii="宋体" w:hAnsi="宋体" w:cs="宋体" w:hint="eastAsia"/>
          <w:sz w:val="24"/>
        </w:rPr>
        <w:t>日（</w:t>
      </w:r>
      <w:r>
        <w:rPr>
          <w:rFonts w:ascii="宋体" w:hAnsi="宋体" w:cs="宋体" w:hint="eastAsia"/>
          <w:sz w:val="24"/>
        </w:rPr>
        <w:t>周二上午3</w:t>
      </w:r>
      <w:r w:rsidRPr="00481206">
        <w:rPr>
          <w:rFonts w:ascii="宋体" w:hAnsi="宋体" w:cs="宋体" w:hint="eastAsia"/>
          <w:sz w:val="24"/>
        </w:rPr>
        <w:t>、</w:t>
      </w:r>
      <w:r>
        <w:rPr>
          <w:rFonts w:ascii="宋体" w:hAnsi="宋体" w:cs="宋体" w:hint="eastAsia"/>
          <w:sz w:val="24"/>
        </w:rPr>
        <w:t>4</w:t>
      </w:r>
      <w:r w:rsidRPr="00481206">
        <w:rPr>
          <w:rFonts w:ascii="宋体" w:hAnsi="宋体" w:cs="宋体" w:hint="eastAsia"/>
          <w:sz w:val="24"/>
        </w:rPr>
        <w:t>节</w:t>
      </w:r>
      <w:r w:rsidR="00481206" w:rsidRPr="00481206">
        <w:rPr>
          <w:rFonts w:ascii="宋体" w:hAnsi="宋体" w:cs="宋体" w:hint="eastAsia"/>
          <w:sz w:val="24"/>
        </w:rPr>
        <w:t>，第11讲）；</w:t>
      </w:r>
      <w:bookmarkEnd w:id="585"/>
      <w:bookmarkEnd w:id="586"/>
    </w:p>
    <w:p w:rsidR="00481206" w:rsidRPr="00481206" w:rsidRDefault="00F63757" w:rsidP="00481206">
      <w:pPr>
        <w:spacing w:line="360" w:lineRule="auto"/>
        <w:ind w:firstLineChars="200" w:firstLine="480"/>
        <w:outlineLvl w:val="1"/>
        <w:rPr>
          <w:rFonts w:ascii="宋体" w:hAnsi="宋体" w:cs="宋体"/>
          <w:sz w:val="24"/>
        </w:rPr>
      </w:pPr>
      <w:bookmarkStart w:id="587" w:name="_Toc444350300"/>
      <w:bookmarkStart w:id="588" w:name="_Toc474271775"/>
      <w:r>
        <w:rPr>
          <w:rFonts w:ascii="宋体" w:hAnsi="宋体" w:cs="宋体" w:hint="eastAsia"/>
          <w:sz w:val="24"/>
        </w:rPr>
        <w:t>2017</w:t>
      </w:r>
      <w:r w:rsidR="00481206" w:rsidRPr="00481206">
        <w:rPr>
          <w:rFonts w:ascii="宋体" w:hAnsi="宋体" w:cs="宋体" w:hint="eastAsia"/>
          <w:sz w:val="24"/>
        </w:rPr>
        <w:t>年</w:t>
      </w:r>
      <w:r>
        <w:rPr>
          <w:rFonts w:ascii="宋体" w:hAnsi="宋体" w:cs="宋体" w:hint="eastAsia"/>
          <w:sz w:val="24"/>
        </w:rPr>
        <w:t>6</w:t>
      </w:r>
      <w:r w:rsidR="00481206" w:rsidRPr="00481206">
        <w:rPr>
          <w:rFonts w:ascii="宋体" w:hAnsi="宋体" w:cs="宋体" w:hint="eastAsia"/>
          <w:sz w:val="24"/>
        </w:rPr>
        <w:t>月</w:t>
      </w:r>
      <w:r>
        <w:rPr>
          <w:rFonts w:ascii="宋体" w:hAnsi="宋体" w:cs="宋体" w:hint="eastAsia"/>
          <w:sz w:val="24"/>
        </w:rPr>
        <w:t>8</w:t>
      </w:r>
      <w:r w:rsidR="00481206" w:rsidRPr="00481206">
        <w:rPr>
          <w:rFonts w:ascii="宋体" w:hAnsi="宋体" w:cs="宋体" w:hint="eastAsia"/>
          <w:sz w:val="24"/>
        </w:rPr>
        <w:t>日（周三上午一、二节，第12讲）。</w:t>
      </w:r>
      <w:bookmarkEnd w:id="587"/>
      <w:bookmarkEnd w:id="588"/>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lastRenderedPageBreak/>
        <w:t xml:space="preserve">  </w:t>
      </w:r>
      <w:r w:rsidRPr="00481206">
        <w:rPr>
          <w:rFonts w:ascii="宋体" w:hAnsi="宋体" w:cs="宋体" w:hint="eastAsia"/>
          <w:bCs/>
          <w:sz w:val="24"/>
        </w:rPr>
        <w:t xml:space="preserve">  </w:t>
      </w:r>
      <w:bookmarkStart w:id="589" w:name="_Toc430423630"/>
      <w:bookmarkStart w:id="590" w:name="_Toc444350301"/>
      <w:bookmarkStart w:id="591" w:name="_Toc474271776"/>
      <w:r w:rsidRPr="00481206">
        <w:rPr>
          <w:rFonts w:ascii="宋体" w:hAnsi="宋体" w:cs="宋体" w:hint="eastAsia"/>
          <w:bCs/>
          <w:sz w:val="24"/>
        </w:rPr>
        <w:t>7.5.2单元教学目标</w:t>
      </w:r>
      <w:bookmarkEnd w:id="589"/>
      <w:bookmarkEnd w:id="590"/>
      <w:bookmarkEnd w:id="591"/>
    </w:p>
    <w:p w:rsidR="00481206" w:rsidRPr="00481206" w:rsidRDefault="00481206" w:rsidP="00481206">
      <w:pPr>
        <w:spacing w:line="360" w:lineRule="auto"/>
        <w:ind w:firstLineChars="200" w:firstLine="480"/>
        <w:outlineLvl w:val="1"/>
        <w:rPr>
          <w:rFonts w:ascii="宋体" w:hAnsi="宋体" w:cs="宋体"/>
          <w:bCs/>
          <w:sz w:val="24"/>
        </w:rPr>
      </w:pPr>
      <w:bookmarkStart w:id="592" w:name="_Toc444350302"/>
      <w:bookmarkStart w:id="593" w:name="_Toc474271777"/>
      <w:r w:rsidRPr="00481206">
        <w:rPr>
          <w:rFonts w:ascii="宋体" w:hAnsi="宋体" w:hint="eastAsia"/>
          <w:bCs/>
          <w:sz w:val="24"/>
        </w:rPr>
        <w:t>了解金融期货套期保值的定义与种类，理解多头套期保值和空头套期保值、完全套期保值和不完全套期保值、直接套期保值和交叉套期保值的差别，掌握金融期货套期保值的基本步骤。</w:t>
      </w:r>
      <w:bookmarkEnd w:id="592"/>
      <w:bookmarkEnd w:id="593"/>
      <w:r w:rsidRPr="00481206">
        <w:rPr>
          <w:rFonts w:ascii="宋体" w:hAnsi="宋体" w:cs="宋体" w:hint="eastAsia"/>
          <w:sz w:val="24"/>
        </w:rPr>
        <w:t xml:space="preserve">                                                                                         </w:t>
      </w:r>
    </w:p>
    <w:p w:rsidR="00481206" w:rsidRPr="00481206" w:rsidRDefault="00481206" w:rsidP="00481206">
      <w:pPr>
        <w:spacing w:line="360" w:lineRule="auto"/>
        <w:ind w:firstLineChars="200" w:firstLine="480"/>
        <w:rPr>
          <w:rFonts w:ascii="宋体" w:hAnsi="宋体"/>
          <w:bCs/>
          <w:sz w:val="24"/>
        </w:rPr>
      </w:pPr>
      <w:bookmarkStart w:id="594" w:name="_Toc430423632"/>
      <w:r w:rsidRPr="00481206">
        <w:rPr>
          <w:rFonts w:ascii="宋体" w:hAnsi="宋体" w:cs="宋体" w:hint="eastAsia"/>
          <w:bCs/>
          <w:sz w:val="24"/>
        </w:rPr>
        <w:t>7.5.3单元教学内容</w:t>
      </w:r>
      <w:bookmarkEnd w:id="594"/>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第四章 金融期货的套期保值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第一节 金融期货套期保值的定义与种类</w:t>
      </w:r>
    </w:p>
    <w:p w:rsidR="00481206" w:rsidRPr="00481206" w:rsidRDefault="00481206" w:rsidP="00481206">
      <w:pPr>
        <w:spacing w:line="360" w:lineRule="auto"/>
        <w:ind w:firstLineChars="200" w:firstLine="480"/>
        <w:outlineLvl w:val="0"/>
        <w:rPr>
          <w:rFonts w:ascii="宋体" w:hAnsi="宋体"/>
          <w:bCs/>
          <w:sz w:val="24"/>
        </w:rPr>
      </w:pPr>
      <w:bookmarkStart w:id="595" w:name="_Toc444350303"/>
      <w:bookmarkStart w:id="596" w:name="_Toc474271778"/>
      <w:r w:rsidRPr="00481206">
        <w:rPr>
          <w:rFonts w:ascii="宋体" w:hAnsi="宋体" w:hint="eastAsia"/>
          <w:bCs/>
          <w:sz w:val="24"/>
        </w:rPr>
        <w:t>一、金融期货套期保值的定义</w:t>
      </w:r>
      <w:bookmarkEnd w:id="595"/>
      <w:bookmarkEnd w:id="596"/>
    </w:p>
    <w:p w:rsidR="00481206" w:rsidRPr="00481206" w:rsidRDefault="00481206" w:rsidP="00481206">
      <w:pPr>
        <w:spacing w:line="360" w:lineRule="auto"/>
        <w:ind w:firstLineChars="200" w:firstLine="480"/>
        <w:outlineLvl w:val="0"/>
        <w:rPr>
          <w:rFonts w:ascii="宋体" w:hAnsi="宋体"/>
          <w:bCs/>
          <w:sz w:val="24"/>
        </w:rPr>
      </w:pPr>
      <w:bookmarkStart w:id="597" w:name="_Toc444350304"/>
      <w:bookmarkStart w:id="598" w:name="_Toc474271779"/>
      <w:r w:rsidRPr="00481206">
        <w:rPr>
          <w:rFonts w:ascii="宋体" w:hAnsi="宋体" w:hint="eastAsia"/>
          <w:bCs/>
          <w:sz w:val="24"/>
        </w:rPr>
        <w:t>二、金融期货套期保值的种类</w:t>
      </w:r>
      <w:bookmarkEnd w:id="597"/>
      <w:bookmarkEnd w:id="598"/>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（一）多头套期保值和空头套期保值</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（二）完全套期保值和不完全套期保值</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（三）直接套期保值和交叉套期保值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第二节 金融期货套期保值的基本步骤</w:t>
      </w:r>
    </w:p>
    <w:p w:rsidR="00481206" w:rsidRPr="00481206" w:rsidRDefault="00481206" w:rsidP="00481206">
      <w:pPr>
        <w:spacing w:line="360" w:lineRule="auto"/>
        <w:ind w:firstLineChars="200" w:firstLine="480"/>
        <w:outlineLvl w:val="0"/>
        <w:rPr>
          <w:rFonts w:ascii="宋体" w:hAnsi="宋体"/>
          <w:bCs/>
          <w:sz w:val="24"/>
        </w:rPr>
      </w:pPr>
      <w:bookmarkStart w:id="599" w:name="_Toc444350305"/>
      <w:bookmarkStart w:id="600" w:name="_Toc474271780"/>
      <w:r w:rsidRPr="00481206">
        <w:rPr>
          <w:rFonts w:ascii="宋体" w:hAnsi="宋体" w:hint="eastAsia"/>
          <w:bCs/>
          <w:sz w:val="24"/>
        </w:rPr>
        <w:t>一、套期保值时需要考虑的问题</w:t>
      </w:r>
      <w:bookmarkEnd w:id="599"/>
      <w:bookmarkEnd w:id="600"/>
    </w:p>
    <w:p w:rsidR="00481206" w:rsidRPr="00481206" w:rsidRDefault="00481206" w:rsidP="00481206">
      <w:pPr>
        <w:spacing w:line="360" w:lineRule="auto"/>
        <w:ind w:firstLineChars="200" w:firstLine="480"/>
        <w:outlineLvl w:val="0"/>
        <w:rPr>
          <w:rFonts w:ascii="宋体" w:hAnsi="宋体"/>
          <w:bCs/>
          <w:sz w:val="24"/>
        </w:rPr>
      </w:pPr>
      <w:bookmarkStart w:id="601" w:name="_Toc444350306"/>
      <w:bookmarkStart w:id="602" w:name="_Toc474271781"/>
      <w:r w:rsidRPr="00481206">
        <w:rPr>
          <w:rFonts w:ascii="宋体" w:hAnsi="宋体" w:hint="eastAsia"/>
          <w:bCs/>
          <w:sz w:val="24"/>
        </w:rPr>
        <w:t>二、金融期货套期保值的基本步骤</w:t>
      </w:r>
      <w:bookmarkEnd w:id="601"/>
      <w:bookmarkEnd w:id="602"/>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603" w:name="_Toc430423661"/>
      <w:bookmarkStart w:id="604" w:name="_Toc444350307"/>
      <w:bookmarkStart w:id="605" w:name="_Toc474271782"/>
      <w:r w:rsidRPr="00481206">
        <w:rPr>
          <w:rFonts w:ascii="宋体" w:hAnsi="宋体" w:cs="宋体" w:hint="eastAsia"/>
          <w:sz w:val="24"/>
        </w:rPr>
        <w:t>【</w:t>
      </w:r>
      <w:r w:rsidRPr="00481206">
        <w:rPr>
          <w:rFonts w:ascii="宋体" w:hAnsi="宋体" w:cs="宋体" w:hint="eastAsia"/>
          <w:bCs/>
          <w:sz w:val="24"/>
        </w:rPr>
        <w:t>重点】</w:t>
      </w:r>
      <w:bookmarkEnd w:id="603"/>
      <w:bookmarkEnd w:id="604"/>
      <w:bookmarkEnd w:id="605"/>
    </w:p>
    <w:p w:rsidR="00481206" w:rsidRPr="00481206" w:rsidRDefault="00481206" w:rsidP="00481206">
      <w:pPr>
        <w:spacing w:line="360" w:lineRule="auto"/>
        <w:ind w:firstLineChars="200" w:firstLine="480"/>
        <w:outlineLvl w:val="1"/>
        <w:rPr>
          <w:rFonts w:ascii="宋体" w:hAnsi="宋体" w:cs="宋体"/>
          <w:sz w:val="24"/>
        </w:rPr>
      </w:pPr>
      <w:bookmarkStart w:id="606" w:name="_Toc444350308"/>
      <w:bookmarkStart w:id="607" w:name="_Toc474271783"/>
      <w:r w:rsidRPr="00481206">
        <w:rPr>
          <w:rFonts w:ascii="宋体" w:hAnsi="宋体" w:hint="eastAsia"/>
          <w:bCs/>
          <w:sz w:val="24"/>
        </w:rPr>
        <w:t>金融期货套期保值的基本五个步骤：金融风险的评估与套期保值目标的确定、套期保值工具的选择、套期保值比率的确定、套期保值策略的制定与实施、套期保值过程的监控与评价。</w:t>
      </w:r>
      <w:bookmarkEnd w:id="606"/>
      <w:bookmarkEnd w:id="607"/>
      <w:r w:rsidRPr="00481206">
        <w:rPr>
          <w:rFonts w:ascii="宋体" w:hAnsi="宋体" w:cs="宋体" w:hint="eastAsia"/>
          <w:sz w:val="24"/>
        </w:rPr>
        <w:t xml:space="preserve"> </w:t>
      </w:r>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608" w:name="_Toc430423663"/>
      <w:bookmarkStart w:id="609" w:name="_Toc444350309"/>
      <w:bookmarkStart w:id="610" w:name="_Toc474271784"/>
      <w:r w:rsidRPr="00481206">
        <w:rPr>
          <w:rFonts w:ascii="宋体" w:hAnsi="宋体" w:cs="宋体" w:hint="eastAsia"/>
          <w:sz w:val="24"/>
        </w:rPr>
        <w:t>【</w:t>
      </w:r>
      <w:r w:rsidRPr="00481206">
        <w:rPr>
          <w:rFonts w:ascii="宋体" w:hAnsi="宋体" w:cs="宋体" w:hint="eastAsia"/>
          <w:bCs/>
          <w:sz w:val="24"/>
        </w:rPr>
        <w:t>难点】</w:t>
      </w:r>
      <w:bookmarkEnd w:id="608"/>
      <w:bookmarkEnd w:id="609"/>
      <w:bookmarkEnd w:id="610"/>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市场中难以实现完全套期保值的原因、基差风险的概念、套期保值比率的确定。</w:t>
      </w:r>
    </w:p>
    <w:p w:rsidR="00481206" w:rsidRPr="00481206" w:rsidRDefault="00481206" w:rsidP="00481206">
      <w:pPr>
        <w:spacing w:line="360" w:lineRule="auto"/>
        <w:ind w:firstLineChars="200" w:firstLine="480"/>
        <w:outlineLvl w:val="1"/>
        <w:rPr>
          <w:rFonts w:ascii="宋体" w:hAnsi="宋体" w:cs="宋体"/>
          <w:bCs/>
          <w:sz w:val="24"/>
        </w:rPr>
      </w:pPr>
      <w:bookmarkStart w:id="611" w:name="_Toc430423665"/>
      <w:bookmarkStart w:id="612" w:name="_Toc444350310"/>
      <w:bookmarkStart w:id="613" w:name="_Toc474271785"/>
      <w:r w:rsidRPr="00481206">
        <w:rPr>
          <w:rFonts w:ascii="宋体" w:hAnsi="宋体" w:cs="宋体" w:hint="eastAsia"/>
          <w:bCs/>
          <w:sz w:val="24"/>
        </w:rPr>
        <w:t>7.5.4单元教学过程（共2讲）</w:t>
      </w:r>
      <w:bookmarkEnd w:id="611"/>
      <w:bookmarkEnd w:id="612"/>
      <w:bookmarkEnd w:id="613"/>
    </w:p>
    <w:p w:rsidR="00481206" w:rsidRPr="00481206" w:rsidRDefault="00481206" w:rsidP="00481206">
      <w:pPr>
        <w:numPr>
          <w:ilvl w:val="0"/>
          <w:numId w:val="4"/>
        </w:numPr>
        <w:tabs>
          <w:tab w:val="left" w:pos="420"/>
        </w:tabs>
        <w:spacing w:line="360" w:lineRule="auto"/>
        <w:ind w:left="0" w:firstLine="420"/>
        <w:outlineLvl w:val="1"/>
        <w:rPr>
          <w:rFonts w:ascii="宋体" w:hAnsi="宋体" w:cs="宋体"/>
          <w:bCs/>
          <w:sz w:val="24"/>
        </w:rPr>
      </w:pPr>
      <w:bookmarkStart w:id="614" w:name="_Toc430423666"/>
      <w:bookmarkStart w:id="615" w:name="_Toc444350311"/>
      <w:bookmarkStart w:id="616" w:name="_Toc474271786"/>
      <w:r w:rsidRPr="00481206">
        <w:rPr>
          <w:rFonts w:ascii="宋体" w:hAnsi="宋体" w:cs="宋体" w:hint="eastAsia"/>
          <w:bCs/>
          <w:sz w:val="24"/>
        </w:rPr>
        <w:t>第11讲，共90分钟</w:t>
      </w:r>
      <w:bookmarkEnd w:id="614"/>
      <w:bookmarkEnd w:id="615"/>
      <w:bookmarkEnd w:id="616"/>
    </w:p>
    <w:p w:rsidR="00481206" w:rsidRPr="00481206" w:rsidRDefault="00481206" w:rsidP="00481206">
      <w:pPr>
        <w:jc w:val="center"/>
        <w:rPr>
          <w:rFonts w:ascii="宋体" w:hAnsi="宋体"/>
          <w:bCs/>
          <w:sz w:val="24"/>
        </w:rPr>
      </w:pPr>
      <w:bookmarkStart w:id="617" w:name="_Toc430423828"/>
      <w:r w:rsidRPr="00481206">
        <w:rPr>
          <w:rFonts w:ascii="宋体" w:hAnsi="宋体" w:hint="eastAsia"/>
          <w:bCs/>
          <w:sz w:val="24"/>
        </w:rPr>
        <w:t>第四章  金融期货的套期保值</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套期保值就是指投资者由于在现货市场中已经有一定头寸和风险暴露，因此运用远期（期货）的相反头寸对冲已有风险的风险管理行为。具体来说，无论是现在持有某一现货资产，还是预期在未来的某个时刻具有对该资产的需求或是确定将持有该资产，该种资产的价格变动都可能给投资者带来风险，都可以看做投资者对该种资产有着一定的风险暴露。此时投资者通过进入远期（期货）的相反头寸，只要现货价格与远期（期货）价格同涨同跌，无论价格是上涨还是下跌，现货与远期（期货）的盈亏都可以相互抵消，</w:t>
      </w:r>
      <w:r w:rsidRPr="00481206">
        <w:rPr>
          <w:rFonts w:ascii="宋体" w:hAnsi="宋体" w:hint="eastAsia"/>
          <w:sz w:val="24"/>
        </w:rPr>
        <w:lastRenderedPageBreak/>
        <w:t>从而消除了投资者所承担的价格风险。</w:t>
      </w:r>
    </w:p>
    <w:p w:rsidR="00481206" w:rsidRPr="00481206" w:rsidRDefault="00481206" w:rsidP="00481206">
      <w:pPr>
        <w:spacing w:line="360" w:lineRule="auto"/>
        <w:jc w:val="center"/>
        <w:rPr>
          <w:rFonts w:ascii="宋体" w:hAnsi="宋体"/>
          <w:bCs/>
          <w:sz w:val="24"/>
        </w:rPr>
      </w:pPr>
      <w:r w:rsidRPr="00481206">
        <w:rPr>
          <w:rFonts w:ascii="宋体" w:hAnsi="宋体" w:hint="eastAsia"/>
          <w:bCs/>
          <w:sz w:val="24"/>
        </w:rPr>
        <w:t>第一节 金融期货套期保值的定义与种类</w:t>
      </w:r>
    </w:p>
    <w:p w:rsidR="00481206" w:rsidRPr="00481206" w:rsidRDefault="00481206" w:rsidP="00481206">
      <w:pPr>
        <w:spacing w:line="360" w:lineRule="auto"/>
        <w:ind w:firstLineChars="200" w:firstLine="480"/>
        <w:outlineLvl w:val="0"/>
        <w:rPr>
          <w:rFonts w:ascii="宋体" w:hAnsi="宋体"/>
          <w:bCs/>
          <w:sz w:val="24"/>
        </w:rPr>
      </w:pPr>
      <w:bookmarkStart w:id="618" w:name="_Toc444350312"/>
      <w:bookmarkStart w:id="619" w:name="_Toc474271787"/>
      <w:r w:rsidRPr="00481206">
        <w:rPr>
          <w:rFonts w:ascii="宋体" w:hAnsi="宋体" w:hint="eastAsia"/>
          <w:bCs/>
          <w:sz w:val="24"/>
        </w:rPr>
        <w:t>一、金融期货套期保值的定义</w:t>
      </w:r>
      <w:bookmarkEnd w:id="618"/>
      <w:bookmarkEnd w:id="619"/>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所谓套期保值（hedging，又称“避险”或“对冲”）：就是指人们在金融期货市场建立于现货市场相反的部位，并在金融期货合约到期前通过反向交易以结清部位的交易形式。</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金融市场之所以具有套期保值的功能，是因为在一定情况下，金融期货价格与金融现货价格受相同因素的影响，从而它们变动的方向是一致的。所以人们只要在金融期货市场建立一种与现货市场相反的部位，则在市场价格发生变动时，无论其变动的方向如何，他们必将在一个市场遭受损失，而在另一个市场获得利润，以一个市场的利润弥补另一个市场的损失，即可达到保值之目的。</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一般来讲，人们利用金融期货进行套期保值，实际上是只能将未来不确定的市场价格加以锁定，从而避免由于市场价格的不利变动而可能造成的损失。但是，未来的市场价格也可能发生对自己有利的变动，从而可能给自己带来额外的收益。所以在利用金融期货进行套期保值时，人们为了避免可能发生的损失，就必须放弃可能取得的额外收益。</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例1：2007年8月16日，美国某保险公司预期在9月21日将有一笔资金6900000美元配置于S&amp;P500指数成分股。为了防止到时股市上扬导致买入成本过高，该保险公司决定利用2007年9月21日到期的S&amp;P500指数期货SPU7进行套期保值。当时SPU7报价为1380点，即一份合约规模为1380*250=345000美元。因此该保险公司以1380的价格买入20份SPU7合约。</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2007年9月21日，实际的S&amp;P500指数以1533.38点开盘，意味着SPU7合约到期结算价也为1533.38点。该保险公司在期货市场中盈利1533.38-1380=153.38点，</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则盈利为：（1533.38-1380）*250*20=7666900-6900000=766900</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而这份股指期货的购买价正好是6900000美元，正好等于9月21日该保险公司的资金总额，因此该保险公司购买的股指期货抵消了指数上升给投资者带来的高成本。</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从本例子可以看出，套期保值的目的是消除价格波动的不确定性。</w:t>
      </w:r>
    </w:p>
    <w:p w:rsidR="00481206" w:rsidRPr="00481206" w:rsidRDefault="00481206" w:rsidP="00481206">
      <w:pPr>
        <w:spacing w:line="360" w:lineRule="auto"/>
        <w:ind w:firstLineChars="200" w:firstLine="480"/>
        <w:outlineLvl w:val="0"/>
        <w:rPr>
          <w:rFonts w:ascii="宋体" w:hAnsi="宋体"/>
          <w:bCs/>
          <w:sz w:val="24"/>
        </w:rPr>
      </w:pPr>
      <w:bookmarkStart w:id="620" w:name="_Toc444350313"/>
      <w:bookmarkStart w:id="621" w:name="_Toc474271788"/>
      <w:r w:rsidRPr="00481206">
        <w:rPr>
          <w:rFonts w:ascii="宋体" w:hAnsi="宋体" w:hint="eastAsia"/>
          <w:bCs/>
          <w:sz w:val="24"/>
        </w:rPr>
        <w:t>二、金融期货套期保值的种类</w:t>
      </w:r>
      <w:bookmarkEnd w:id="620"/>
      <w:bookmarkEnd w:id="621"/>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（一）多头套期保值和空头套期保值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1．多头套期保值（long hedge），也称买入套期保值（buy hedge），即通过买入期货市场的多头对现货市场进行套期保值。很显然，投资者之所以要进行多头套期保值，</w:t>
      </w:r>
      <w:r w:rsidRPr="00481206">
        <w:rPr>
          <w:rFonts w:ascii="宋体" w:hAnsi="宋体" w:hint="eastAsia"/>
          <w:bCs/>
          <w:sz w:val="24"/>
        </w:rPr>
        <w:lastRenderedPageBreak/>
        <w:t>是因为他在现货市场中持有空头部位，价格上升将使他在现货市场总蒙受损失。</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2.空头套期保值（short hedge），也称卖出套期保值（sell hedge），即通过进入期货市场的空头对现货市场进行套期保值。投资者之所以要做空头套期保值，则因为他在现货市场中持有多头部位，价格下跌将使他在现货市场中蒙受损失。</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可见，在套期保值中，期货部位总是与现货部位相反。投资者在期货市场建立与现货市场相反的部位，其目的是希望在价格出现不利变动，从而他在现货市场中蒙受损失时，可从期货市场中得到补偿。当然，当价格出现有利变动，则他也必须放弃其本在现货市场中得到的额外利润，因为这部分利润将被他在期货市场的损失所抵消。</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（二）完全套期保值和不完全套期保值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所谓完全套期保值（perfect hedging），是指人们在套期保值中，一个市场的损失正好被另一个市场的利润所抵消。也就是说人们通过套期保值可将自己所面临的全部金融风险都得以避免。从主观上说，人们既要实行套期保值，就自然以完全套期保值作为目标。完全套期保值又叫做“完美套期保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一般来说，无法完全消除价格风险的套期保值才是市场中的常态，这叫做不完全套期保值（imperfect hedging）。</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市场中难以实现完全套期保值的原因：</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一，期货合约的标准化限制了人们选择的余地。一般来讲，在利用金融期货套期保值时，人们必须选择在金融期货市场中建立一个与现货市场相反的部位，而这一部位的大小一般应根据现货部位的大小来确定。但是，期货合约的标准化使人们无法根据其现货部位的大小而在期货市场做出完全合意的选择。</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二，金融期货价格一般与现货价格呈同方向变动，但未必呈同幅度变动。这样，即使投资者在期货市场所建立的部位与他在现货市场的相反部位在价值上完全相等（或完全适当），但只要在价格发生变动时，两个市场的价格变动幅度不同，则他也同样无法实现完全套期保值。也就是说，在期货价格和现货价格变动方向相同，而变动幅度不同时，投资者通过套期保值虽可抵消一部分风险，但还会残余一部分风险。这种因期货价格和现货价格变动幅度不一致而未能抵消的风险，通常称为“基差风险”。</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基差风险：</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基差是指特定时刻需要进行套期保值的现货价格与用以进行套期保值的期货价格之差，即：</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b=H-G</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lastRenderedPageBreak/>
        <w:t>b是特定时刻的基差，H是需要进行套期保值的现货价格，G是用以进行套期保值的期货价格。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基差最主要的用途就是用来分析套期保值的收益和风险。在1单位现货空头用1单位期货多头进行套期保值的情形下，投资者在整个套期保值收益可以表达为：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2"/>
          <w:sz w:val="24"/>
        </w:rPr>
        <w:object w:dxaOrig="5440" w:dyaOrig="360">
          <v:shape id="_x0000_i1251" type="#_x0000_t75" style="width:272.25pt;height:18pt" o:ole="">
            <v:imagedata r:id="rId424" o:title=""/>
          </v:shape>
          <o:OLEObject Type="Embed" ProgID="Equation.3" ShapeID="_x0000_i1251" DrawAspect="Content" ObjectID="_1550061519" r:id="rId425"/>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在1单位现货多头而用1单位期货空头进行套期保值的情形下，投资者的整个套期保值收益可以表达为：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2"/>
          <w:sz w:val="24"/>
        </w:rPr>
        <w:object w:dxaOrig="5440" w:dyaOrig="360">
          <v:shape id="_x0000_i1252" type="#_x0000_t75" style="width:272.25pt;height:18pt" o:ole="">
            <v:imagedata r:id="rId426" o:title=""/>
          </v:shape>
          <o:OLEObject Type="Embed" ProgID="Equation.3" ShapeID="_x0000_i1252" DrawAspect="Content" ObjectID="_1550061520" r:id="rId427"/>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其中下标0和1分别表示开始套期保值的时刻和未来套期保值结束的时刻，</w:t>
      </w:r>
      <w:r w:rsidRPr="00481206">
        <w:rPr>
          <w:rFonts w:ascii="宋体" w:hAnsi="宋体"/>
          <w:bCs/>
          <w:position w:val="-12"/>
          <w:sz w:val="24"/>
        </w:rPr>
        <w:object w:dxaOrig="260" w:dyaOrig="360">
          <v:shape id="_x0000_i1253" type="#_x0000_t75" style="width:12.75pt;height:18pt" o:ole="">
            <v:imagedata r:id="rId428" o:title=""/>
          </v:shape>
          <o:OLEObject Type="Embed" ProgID="Equation.3" ShapeID="_x0000_i1253" DrawAspect="Content" ObjectID="_1550061521" r:id="rId429"/>
        </w:object>
      </w:r>
      <w:r w:rsidRPr="00481206">
        <w:rPr>
          <w:rFonts w:ascii="宋体" w:hAnsi="宋体" w:hint="eastAsia"/>
          <w:bCs/>
          <w:sz w:val="24"/>
        </w:rPr>
        <w:t>代表当前的基差，</w:t>
      </w:r>
      <w:r w:rsidRPr="00481206">
        <w:rPr>
          <w:rFonts w:ascii="宋体" w:hAnsi="宋体"/>
          <w:bCs/>
          <w:position w:val="-10"/>
          <w:sz w:val="24"/>
        </w:rPr>
        <w:object w:dxaOrig="240" w:dyaOrig="340">
          <v:shape id="_x0000_i1254" type="#_x0000_t75" style="width:12pt;height:17.25pt" o:ole="">
            <v:imagedata r:id="rId430" o:title=""/>
          </v:shape>
          <o:OLEObject Type="Embed" ProgID="Equation.3" ShapeID="_x0000_i1254" DrawAspect="Content" ObjectID="_1550061522" r:id="rId431"/>
        </w:object>
      </w:r>
      <w:r w:rsidRPr="00481206">
        <w:rPr>
          <w:rFonts w:ascii="宋体" w:hAnsi="宋体" w:hint="eastAsia"/>
          <w:bCs/>
          <w:sz w:val="24"/>
        </w:rPr>
        <w:t>代表未来套期保值结束时的基差。</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显然，当前的基差</w:t>
      </w:r>
      <w:r w:rsidRPr="00481206">
        <w:rPr>
          <w:rFonts w:ascii="宋体" w:hAnsi="宋体"/>
          <w:bCs/>
          <w:position w:val="-12"/>
          <w:sz w:val="24"/>
        </w:rPr>
        <w:object w:dxaOrig="260" w:dyaOrig="360">
          <v:shape id="_x0000_i1255" type="#_x0000_t75" style="width:12.75pt;height:18pt" o:ole="">
            <v:imagedata r:id="rId428" o:title=""/>
          </v:shape>
          <o:OLEObject Type="Embed" ProgID="Equation.3" ShapeID="_x0000_i1255" DrawAspect="Content" ObjectID="_1550061523" r:id="rId432"/>
        </w:object>
      </w:r>
      <w:r w:rsidRPr="00481206">
        <w:rPr>
          <w:rFonts w:ascii="宋体" w:hAnsi="宋体" w:hint="eastAsia"/>
          <w:bCs/>
          <w:sz w:val="24"/>
        </w:rPr>
        <w:t>总是已知的，</w:t>
      </w:r>
      <w:r w:rsidRPr="00481206">
        <w:rPr>
          <w:rFonts w:ascii="宋体" w:hAnsi="宋体"/>
          <w:bCs/>
          <w:position w:val="-10"/>
          <w:sz w:val="24"/>
        </w:rPr>
        <w:object w:dxaOrig="240" w:dyaOrig="340">
          <v:shape id="_x0000_i1256" type="#_x0000_t75" style="width:12pt;height:17.25pt" o:ole="">
            <v:imagedata r:id="rId433" o:title=""/>
          </v:shape>
          <o:OLEObject Type="Embed" ProgID="Equation.3" ShapeID="_x0000_i1256" DrawAspect="Content" ObjectID="_1550061524" r:id="rId434"/>
        </w:object>
      </w:r>
      <w:r w:rsidRPr="00481206">
        <w:rPr>
          <w:rFonts w:ascii="宋体" w:hAnsi="宋体" w:hint="eastAsia"/>
          <w:bCs/>
          <w:sz w:val="24"/>
        </w:rPr>
        <w:t>是否确定则决定了套期保值收益是否确定，是否完全消除价格风险。可以将</w:t>
      </w:r>
      <w:r w:rsidRPr="00481206">
        <w:rPr>
          <w:rFonts w:ascii="宋体" w:hAnsi="宋体"/>
          <w:bCs/>
          <w:position w:val="-10"/>
          <w:sz w:val="24"/>
        </w:rPr>
        <w:object w:dxaOrig="240" w:dyaOrig="340">
          <v:shape id="_x0000_i1257" type="#_x0000_t75" style="width:12pt;height:17.25pt" o:ole="">
            <v:imagedata r:id="rId433" o:title=""/>
          </v:shape>
          <o:OLEObject Type="Embed" ProgID="Equation.3" ShapeID="_x0000_i1257" DrawAspect="Content" ObjectID="_1550061525" r:id="rId435"/>
        </w:object>
      </w:r>
      <w:r w:rsidRPr="00481206">
        <w:rPr>
          <w:rFonts w:ascii="宋体" w:hAnsi="宋体" w:hint="eastAsia"/>
          <w:bCs/>
          <w:sz w:val="24"/>
        </w:rPr>
        <w:t>分解为：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3519" w:dyaOrig="340">
          <v:shape id="_x0000_i1258" type="#_x0000_t75" style="width:176.25pt;height:17.25pt" o:ole="">
            <v:imagedata r:id="rId436" o:title=""/>
          </v:shape>
          <o:OLEObject Type="Embed" ProgID="Equation.3" ShapeID="_x0000_i1258" DrawAspect="Content" ObjectID="_1550061526" r:id="rId437"/>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其中上式中</w:t>
      </w:r>
      <w:r w:rsidRPr="00481206">
        <w:rPr>
          <w:rFonts w:ascii="宋体" w:hAnsi="宋体"/>
          <w:bCs/>
          <w:position w:val="-10"/>
          <w:sz w:val="24"/>
        </w:rPr>
        <w:object w:dxaOrig="260" w:dyaOrig="340">
          <v:shape id="_x0000_i1259" type="#_x0000_t75" style="width:12.75pt;height:17.25pt" o:ole="">
            <v:imagedata r:id="rId438" o:title=""/>
          </v:shape>
          <o:OLEObject Type="Embed" ProgID="Equation.3" ShapeID="_x0000_i1259" DrawAspect="Content" ObjectID="_1550061527" r:id="rId439"/>
        </w:object>
      </w:r>
      <w:r w:rsidRPr="00481206">
        <w:rPr>
          <w:rFonts w:ascii="宋体" w:hAnsi="宋体" w:hint="eastAsia"/>
          <w:bCs/>
          <w:sz w:val="24"/>
        </w:rPr>
        <w:t>表示套期保值结束期货头寸结清时，期货表的资产的现货价格。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如果期货的标的资产与投资者需要进行套期保值的现货是同一资产，其期货到期日就是投资者现货的交易日，根据期货价格到期时收敛于标的资产价格的原理，有：</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1320" w:dyaOrig="340">
          <v:shape id="_x0000_i1260" type="#_x0000_t75" style="width:66pt;height:17.25pt" o:ole="">
            <v:imagedata r:id="rId440" o:title=""/>
          </v:shape>
          <o:OLEObject Type="Embed" ProgID="Equation.3" ShapeID="_x0000_i1260" DrawAspect="Content" ObjectID="_1550061528" r:id="rId441"/>
        </w:object>
      </w:r>
      <w:r w:rsidRPr="00481206">
        <w:rPr>
          <w:rFonts w:ascii="宋体" w:hAnsi="宋体" w:hint="eastAsia"/>
          <w:bCs/>
          <w:sz w:val="24"/>
        </w:rPr>
        <w:t>，</w:t>
      </w:r>
      <w:r w:rsidRPr="00481206">
        <w:rPr>
          <w:rFonts w:ascii="宋体" w:hAnsi="宋体"/>
          <w:bCs/>
          <w:position w:val="-10"/>
          <w:sz w:val="24"/>
        </w:rPr>
        <w:object w:dxaOrig="639" w:dyaOrig="340">
          <v:shape id="_x0000_i1261" type="#_x0000_t75" style="width:32.25pt;height:17.25pt" o:ole="">
            <v:imagedata r:id="rId442" o:title=""/>
          </v:shape>
          <o:OLEObject Type="Embed" ProgID="Equation.3" ShapeID="_x0000_i1261" DrawAspect="Content" ObjectID="_1550061529" r:id="rId443"/>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在这种情况下，投资者套期保值收益就是确定的，期货价格就是投资者未来确定的买卖价格，就可以实现完美套期保值。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但如果期货标的资产与需要套期保值的资产不是同一资产，比如套期保值者无法在市场中获得他所需要的标的资产的期货产品而不得不采用一个近似标的资产的期货产品进行套期保值，这样就无法保证</w:t>
      </w:r>
      <w:r w:rsidRPr="00481206">
        <w:rPr>
          <w:rFonts w:ascii="宋体" w:hAnsi="宋体"/>
          <w:bCs/>
          <w:position w:val="-10"/>
          <w:sz w:val="24"/>
        </w:rPr>
        <w:object w:dxaOrig="800" w:dyaOrig="340">
          <v:shape id="_x0000_i1262" type="#_x0000_t75" style="width:39.75pt;height:17.25pt" o:ole="">
            <v:imagedata r:id="rId444" o:title=""/>
          </v:shape>
          <o:OLEObject Type="Embed" ProgID="Equation.3" ShapeID="_x0000_i1262" DrawAspect="Content" ObjectID="_1550061530" r:id="rId445"/>
        </w:object>
      </w:r>
      <w:r w:rsidRPr="00481206">
        <w:rPr>
          <w:rFonts w:ascii="宋体" w:hAnsi="宋体" w:hint="eastAsia"/>
          <w:bCs/>
          <w:sz w:val="24"/>
        </w:rPr>
        <w:t>；或者如果期货到期日与需要套期保值的日期不一致，例如套期保值者可能无法事先确定套期保值的确定时间，也可能无法找到在需要的日期到期的期货产品，这时无法保证套期保值结束时期货价格与其标的资产价格一定会收敛，也就无法保证</w:t>
      </w:r>
      <w:r w:rsidRPr="00481206">
        <w:rPr>
          <w:rFonts w:ascii="宋体" w:hAnsi="宋体"/>
          <w:bCs/>
          <w:position w:val="-10"/>
          <w:sz w:val="24"/>
        </w:rPr>
        <w:object w:dxaOrig="800" w:dyaOrig="340">
          <v:shape id="_x0000_i1263" type="#_x0000_t75" style="width:39.75pt;height:17.25pt" o:ole="">
            <v:imagedata r:id="rId444" o:title=""/>
          </v:shape>
          <o:OLEObject Type="Embed" ProgID="Equation.3" ShapeID="_x0000_i1263" DrawAspect="Content" ObjectID="_1550061531" r:id="rId446"/>
        </w:object>
      </w:r>
      <w:r w:rsidRPr="00481206">
        <w:rPr>
          <w:rFonts w:ascii="宋体" w:hAnsi="宋体" w:hint="eastAsia"/>
          <w:bCs/>
          <w:sz w:val="24"/>
        </w:rPr>
        <w:t>。</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因此，只要是无法确定</w:t>
      </w:r>
      <w:r w:rsidRPr="00481206">
        <w:rPr>
          <w:rFonts w:ascii="宋体" w:hAnsi="宋体"/>
          <w:bCs/>
          <w:position w:val="-10"/>
          <w:sz w:val="24"/>
        </w:rPr>
        <w:object w:dxaOrig="800" w:dyaOrig="340">
          <v:shape id="_x0000_i1264" type="#_x0000_t75" style="width:39.75pt;height:17.25pt" o:ole="">
            <v:imagedata r:id="rId444" o:title=""/>
          </v:shape>
          <o:OLEObject Type="Embed" ProgID="Equation.3" ShapeID="_x0000_i1264" DrawAspect="Content" ObjectID="_1550061532" r:id="rId447"/>
        </w:object>
      </w:r>
      <w:r w:rsidRPr="00481206">
        <w:rPr>
          <w:rFonts w:ascii="宋体" w:hAnsi="宋体" w:hint="eastAsia"/>
          <w:bCs/>
          <w:sz w:val="24"/>
        </w:rPr>
        <w:t>或</w:t>
      </w:r>
      <w:r w:rsidRPr="00481206">
        <w:rPr>
          <w:rFonts w:ascii="宋体" w:hAnsi="宋体"/>
          <w:bCs/>
          <w:position w:val="-10"/>
          <w:sz w:val="24"/>
        </w:rPr>
        <w:object w:dxaOrig="780" w:dyaOrig="340">
          <v:shape id="_x0000_i1265" type="#_x0000_t75" style="width:39pt;height:17.25pt" o:ole="">
            <v:imagedata r:id="rId448" o:title=""/>
          </v:shape>
          <o:OLEObject Type="Embed" ProgID="Equation.3" ShapeID="_x0000_i1265" DrawAspect="Content" ObjectID="_1550061533" r:id="rId449"/>
        </w:object>
      </w:r>
      <w:r w:rsidRPr="00481206">
        <w:rPr>
          <w:rFonts w:ascii="宋体" w:hAnsi="宋体" w:hint="eastAsia"/>
          <w:bCs/>
          <w:sz w:val="24"/>
        </w:rPr>
        <w:t>，就无法保证</w:t>
      </w:r>
      <w:r w:rsidRPr="00481206">
        <w:rPr>
          <w:rFonts w:ascii="宋体" w:hAnsi="宋体"/>
          <w:bCs/>
          <w:position w:val="-10"/>
          <w:sz w:val="24"/>
        </w:rPr>
        <w:object w:dxaOrig="639" w:dyaOrig="340">
          <v:shape id="_x0000_i1266" type="#_x0000_t75" style="width:32.25pt;height:17.25pt" o:ole="">
            <v:imagedata r:id="rId442" o:title=""/>
          </v:shape>
          <o:OLEObject Type="Embed" ProgID="Equation.3" ShapeID="_x0000_i1266" DrawAspect="Content" ObjectID="_1550061534" r:id="rId450"/>
        </w:object>
      </w:r>
      <w:r w:rsidRPr="00481206">
        <w:rPr>
          <w:rFonts w:ascii="宋体" w:hAnsi="宋体" w:hint="eastAsia"/>
          <w:bCs/>
          <w:sz w:val="24"/>
        </w:rPr>
        <w:t>，也就无法完全消除价</w:t>
      </w:r>
      <w:r w:rsidRPr="00481206">
        <w:rPr>
          <w:rFonts w:ascii="宋体" w:hAnsi="宋体" w:hint="eastAsia"/>
          <w:bCs/>
          <w:sz w:val="24"/>
        </w:rPr>
        <w:lastRenderedPageBreak/>
        <w:t>格风险，无法获得完美的套期保值，这里，源自</w:t>
      </w:r>
      <w:r w:rsidRPr="00481206">
        <w:rPr>
          <w:rFonts w:ascii="宋体" w:hAnsi="宋体"/>
          <w:bCs/>
          <w:position w:val="-10"/>
          <w:sz w:val="24"/>
        </w:rPr>
        <w:object w:dxaOrig="240" w:dyaOrig="340">
          <v:shape id="_x0000_i1267" type="#_x0000_t75" style="width:12pt;height:17.25pt" o:ole="">
            <v:imagedata r:id="rId451" o:title=""/>
          </v:shape>
          <o:OLEObject Type="Embed" ProgID="Equation.3" ShapeID="_x0000_i1267" DrawAspect="Content" ObjectID="_1550061535" r:id="rId452"/>
        </w:object>
      </w:r>
      <w:r w:rsidRPr="00481206">
        <w:rPr>
          <w:rFonts w:ascii="宋体" w:hAnsi="宋体" w:hint="eastAsia"/>
          <w:bCs/>
          <w:sz w:val="24"/>
        </w:rPr>
        <w:t>的不确定性就被称为基差风险。</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总之，基差风险描述了运用期货合约进行套期保值时无法完全对冲的价格风险。但通过套期保值，投资者将其所承担的风险由现货价格的不确定性变化转变为基差的不确定变化，而基差变动的程度总是远远小于现货价格的变动程度，因此不完全的套期保值虽然无法完全对冲风险，但还是在很大程度上降低了风险。</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对于空头套期保值来讲，基差增大对其有利；而对于多头套期保值来讲，基差减小则对其有利。下表显示了套期保值盈利性与基差的关系：</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2233"/>
        <w:gridCol w:w="1586"/>
        <w:gridCol w:w="5469"/>
      </w:tblGrid>
      <w:tr w:rsidR="00481206" w:rsidRPr="00481206" w:rsidTr="00CF0F4C">
        <w:tc>
          <w:tcPr>
            <w:tcW w:w="1202"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套期保值类型</w:t>
            </w:r>
          </w:p>
        </w:tc>
        <w:tc>
          <w:tcPr>
            <w:tcW w:w="854"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受益来源</w:t>
            </w:r>
          </w:p>
        </w:tc>
        <w:tc>
          <w:tcPr>
            <w:tcW w:w="2944"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条件</w:t>
            </w:r>
          </w:p>
        </w:tc>
      </w:tr>
      <w:tr w:rsidR="00481206" w:rsidRPr="00481206" w:rsidTr="00CF0F4C">
        <w:tc>
          <w:tcPr>
            <w:tcW w:w="1202" w:type="pct"/>
            <w:vMerge w:val="restar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多头套期保值</w:t>
            </w:r>
          </w:p>
        </w:tc>
        <w:tc>
          <w:tcPr>
            <w:tcW w:w="854" w:type="pct"/>
            <w:vMerge w:val="restar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基差减小</w:t>
            </w:r>
          </w:p>
        </w:tc>
        <w:tc>
          <w:tcPr>
            <w:tcW w:w="2944"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现货价格的涨幅小于期货价格的涨幅</w:t>
            </w:r>
          </w:p>
        </w:tc>
      </w:tr>
      <w:tr w:rsidR="00481206" w:rsidRPr="00481206" w:rsidTr="00CF0F4C">
        <w:tc>
          <w:tcPr>
            <w:tcW w:w="1202" w:type="pct"/>
            <w:vMerge/>
            <w:vAlign w:val="center"/>
          </w:tcPr>
          <w:p w:rsidR="00481206" w:rsidRPr="00481206" w:rsidRDefault="00481206" w:rsidP="00CF0F4C">
            <w:pPr>
              <w:spacing w:line="360" w:lineRule="auto"/>
              <w:jc w:val="center"/>
              <w:rPr>
                <w:rFonts w:ascii="宋体" w:hAnsi="宋体"/>
                <w:bCs/>
                <w:sz w:val="24"/>
              </w:rPr>
            </w:pPr>
          </w:p>
        </w:tc>
        <w:tc>
          <w:tcPr>
            <w:tcW w:w="854" w:type="pct"/>
            <w:vMerge/>
            <w:vAlign w:val="center"/>
          </w:tcPr>
          <w:p w:rsidR="00481206" w:rsidRPr="00481206" w:rsidRDefault="00481206" w:rsidP="00CF0F4C">
            <w:pPr>
              <w:spacing w:line="360" w:lineRule="auto"/>
              <w:jc w:val="center"/>
              <w:rPr>
                <w:rFonts w:ascii="宋体" w:hAnsi="宋体"/>
                <w:bCs/>
                <w:sz w:val="24"/>
              </w:rPr>
            </w:pPr>
          </w:p>
        </w:tc>
        <w:tc>
          <w:tcPr>
            <w:tcW w:w="2944"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现货价格的跌幅大于期货价格的跌幅</w:t>
            </w:r>
          </w:p>
        </w:tc>
      </w:tr>
      <w:tr w:rsidR="00481206" w:rsidRPr="00481206" w:rsidTr="00CF0F4C">
        <w:tc>
          <w:tcPr>
            <w:tcW w:w="1202" w:type="pct"/>
            <w:vMerge/>
            <w:vAlign w:val="center"/>
          </w:tcPr>
          <w:p w:rsidR="00481206" w:rsidRPr="00481206" w:rsidRDefault="00481206" w:rsidP="00CF0F4C">
            <w:pPr>
              <w:spacing w:line="360" w:lineRule="auto"/>
              <w:jc w:val="center"/>
              <w:rPr>
                <w:rFonts w:ascii="宋体" w:hAnsi="宋体"/>
                <w:bCs/>
                <w:sz w:val="24"/>
              </w:rPr>
            </w:pPr>
          </w:p>
        </w:tc>
        <w:tc>
          <w:tcPr>
            <w:tcW w:w="854" w:type="pct"/>
            <w:vMerge/>
            <w:vAlign w:val="center"/>
          </w:tcPr>
          <w:p w:rsidR="00481206" w:rsidRPr="00481206" w:rsidRDefault="00481206" w:rsidP="00CF0F4C">
            <w:pPr>
              <w:spacing w:line="360" w:lineRule="auto"/>
              <w:jc w:val="center"/>
              <w:rPr>
                <w:rFonts w:ascii="宋体" w:hAnsi="宋体"/>
                <w:bCs/>
                <w:sz w:val="24"/>
              </w:rPr>
            </w:pPr>
          </w:p>
        </w:tc>
        <w:tc>
          <w:tcPr>
            <w:tcW w:w="2944"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现货价格下跌而期货价格上涨</w:t>
            </w:r>
          </w:p>
        </w:tc>
      </w:tr>
      <w:tr w:rsidR="00481206" w:rsidRPr="00481206" w:rsidTr="00CF0F4C">
        <w:tc>
          <w:tcPr>
            <w:tcW w:w="1202" w:type="pct"/>
            <w:vMerge w:val="restar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空头套期保值</w:t>
            </w:r>
          </w:p>
        </w:tc>
        <w:tc>
          <w:tcPr>
            <w:tcW w:w="854" w:type="pct"/>
            <w:vMerge w:val="restar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基差增大</w:t>
            </w:r>
          </w:p>
        </w:tc>
        <w:tc>
          <w:tcPr>
            <w:tcW w:w="2944"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现货价格的涨幅大于期货价格的涨幅</w:t>
            </w:r>
          </w:p>
        </w:tc>
      </w:tr>
      <w:tr w:rsidR="00481206" w:rsidRPr="00481206" w:rsidTr="00CF0F4C">
        <w:tc>
          <w:tcPr>
            <w:tcW w:w="1202" w:type="pct"/>
            <w:vMerge/>
            <w:vAlign w:val="center"/>
          </w:tcPr>
          <w:p w:rsidR="00481206" w:rsidRPr="00481206" w:rsidRDefault="00481206" w:rsidP="00CF0F4C">
            <w:pPr>
              <w:spacing w:line="360" w:lineRule="auto"/>
              <w:jc w:val="center"/>
              <w:rPr>
                <w:rFonts w:ascii="宋体" w:hAnsi="宋体"/>
                <w:bCs/>
                <w:sz w:val="24"/>
              </w:rPr>
            </w:pPr>
          </w:p>
        </w:tc>
        <w:tc>
          <w:tcPr>
            <w:tcW w:w="854" w:type="pct"/>
            <w:vMerge/>
            <w:vAlign w:val="center"/>
          </w:tcPr>
          <w:p w:rsidR="00481206" w:rsidRPr="00481206" w:rsidRDefault="00481206" w:rsidP="00CF0F4C">
            <w:pPr>
              <w:spacing w:line="360" w:lineRule="auto"/>
              <w:jc w:val="center"/>
              <w:rPr>
                <w:rFonts w:ascii="宋体" w:hAnsi="宋体"/>
                <w:bCs/>
                <w:sz w:val="24"/>
              </w:rPr>
            </w:pPr>
          </w:p>
        </w:tc>
        <w:tc>
          <w:tcPr>
            <w:tcW w:w="2944"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现货价格的跌幅小于期货价格的跌幅</w:t>
            </w:r>
          </w:p>
        </w:tc>
      </w:tr>
      <w:tr w:rsidR="00481206" w:rsidRPr="00481206" w:rsidTr="00CF0F4C">
        <w:tc>
          <w:tcPr>
            <w:tcW w:w="1202" w:type="pct"/>
            <w:vMerge/>
            <w:vAlign w:val="center"/>
          </w:tcPr>
          <w:p w:rsidR="00481206" w:rsidRPr="00481206" w:rsidRDefault="00481206" w:rsidP="00CF0F4C">
            <w:pPr>
              <w:spacing w:line="360" w:lineRule="auto"/>
              <w:jc w:val="center"/>
              <w:rPr>
                <w:rFonts w:ascii="宋体" w:hAnsi="宋体"/>
                <w:bCs/>
                <w:sz w:val="24"/>
              </w:rPr>
            </w:pPr>
          </w:p>
        </w:tc>
        <w:tc>
          <w:tcPr>
            <w:tcW w:w="854" w:type="pct"/>
            <w:vMerge/>
            <w:vAlign w:val="center"/>
          </w:tcPr>
          <w:p w:rsidR="00481206" w:rsidRPr="00481206" w:rsidRDefault="00481206" w:rsidP="00CF0F4C">
            <w:pPr>
              <w:spacing w:line="360" w:lineRule="auto"/>
              <w:jc w:val="center"/>
              <w:rPr>
                <w:rFonts w:ascii="宋体" w:hAnsi="宋体"/>
                <w:bCs/>
                <w:sz w:val="24"/>
              </w:rPr>
            </w:pPr>
          </w:p>
        </w:tc>
        <w:tc>
          <w:tcPr>
            <w:tcW w:w="2944"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现货价格上涨而期货价格下跌</w:t>
            </w:r>
          </w:p>
        </w:tc>
      </w:tr>
    </w:tbl>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（三）直接套期保值和交叉套期保值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1.直接套期保值（direct hedging），是指投资者用一种金融工具的期货合约为该种金融工具本身的现货部位实施套期保值。也就是说，投资者对一种金融工具进行套期保值时，其所用的期货合约即以该种金融工具作为标的物。</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例如，投资者在对欧元现货部位实施套期保值时，即以欧元期货合约作为套期保值工具；</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2.交叉套期保值（cross hedging），则是指投资者用一种金融工具的期货合约为另一种金融工具进行套期保值时，其所用的金融期货合约却以另一种金融工具作为标的物。</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例如，投资者以3个月期欧洲美元期货合约对3个月期CD（大额可转让定期存款）现货部位进行套期保值，就是一种交叉套期保值。</w:t>
      </w:r>
    </w:p>
    <w:p w:rsidR="00481206" w:rsidRPr="00481206" w:rsidRDefault="00481206" w:rsidP="00481206">
      <w:pPr>
        <w:numPr>
          <w:ilvl w:val="0"/>
          <w:numId w:val="4"/>
        </w:numPr>
        <w:tabs>
          <w:tab w:val="left" w:pos="420"/>
        </w:tabs>
        <w:spacing w:line="360" w:lineRule="auto"/>
        <w:ind w:left="0" w:firstLine="420"/>
        <w:outlineLvl w:val="1"/>
        <w:rPr>
          <w:rFonts w:ascii="宋体" w:hAnsi="宋体" w:cs="宋体"/>
          <w:bCs/>
          <w:sz w:val="24"/>
        </w:rPr>
      </w:pPr>
      <w:bookmarkStart w:id="622" w:name="_Toc444350314"/>
      <w:bookmarkStart w:id="623" w:name="_Toc474271789"/>
      <w:r w:rsidRPr="00481206">
        <w:rPr>
          <w:rFonts w:ascii="宋体" w:hAnsi="宋体" w:cs="宋体" w:hint="eastAsia"/>
          <w:bCs/>
          <w:sz w:val="24"/>
        </w:rPr>
        <w:t>第12讲，共90分钟</w:t>
      </w:r>
      <w:bookmarkEnd w:id="622"/>
      <w:bookmarkEnd w:id="623"/>
    </w:p>
    <w:p w:rsidR="00481206" w:rsidRPr="00481206" w:rsidRDefault="00481206" w:rsidP="00481206">
      <w:pPr>
        <w:spacing w:line="360" w:lineRule="auto"/>
        <w:jc w:val="center"/>
        <w:rPr>
          <w:rFonts w:ascii="宋体" w:hAnsi="宋体"/>
          <w:bCs/>
          <w:sz w:val="24"/>
        </w:rPr>
      </w:pPr>
      <w:r w:rsidRPr="00481206">
        <w:rPr>
          <w:rFonts w:ascii="宋体" w:hAnsi="宋体" w:hint="eastAsia"/>
          <w:bCs/>
          <w:sz w:val="24"/>
        </w:rPr>
        <w:t>第二节 金融期货套期保值的基本步骤</w:t>
      </w:r>
    </w:p>
    <w:p w:rsidR="00481206" w:rsidRPr="00481206" w:rsidRDefault="00481206" w:rsidP="00481206">
      <w:pPr>
        <w:spacing w:line="360" w:lineRule="auto"/>
        <w:ind w:firstLineChars="200" w:firstLine="480"/>
        <w:outlineLvl w:val="0"/>
        <w:rPr>
          <w:rFonts w:ascii="宋体" w:hAnsi="宋体"/>
          <w:bCs/>
          <w:sz w:val="24"/>
        </w:rPr>
      </w:pPr>
      <w:bookmarkStart w:id="624" w:name="_Toc444350315"/>
      <w:bookmarkStart w:id="625" w:name="_Toc474271790"/>
      <w:r w:rsidRPr="00481206">
        <w:rPr>
          <w:rFonts w:ascii="宋体" w:hAnsi="宋体" w:hint="eastAsia"/>
          <w:bCs/>
          <w:sz w:val="24"/>
        </w:rPr>
        <w:t>一、套期保值时需要考虑的问题</w:t>
      </w:r>
      <w:bookmarkEnd w:id="624"/>
      <w:bookmarkEnd w:id="625"/>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在进行套期保值时，需要考虑如下四个问题：第一，选择合约的种类；第二，选择合约的到期日；第三，选择合约的头寸方向；即多头还是空头；第四，确定合约的交易</w:t>
      </w:r>
      <w:r w:rsidRPr="00481206">
        <w:rPr>
          <w:rFonts w:ascii="宋体" w:hAnsi="宋体" w:hint="eastAsia"/>
          <w:bCs/>
          <w:sz w:val="24"/>
        </w:rPr>
        <w:lastRenderedPageBreak/>
        <w:t>数量。我们重点讨论前三个问题。</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（一）合约的选择</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在合约选择的问题上，实际上需要考虑两个问题：第一，在被套期保值的现货既有远期合约又有期货合约交易的情况下，应选择远期还是期货；第二，在被套期保值的现货与市场上可得的期货合约标的资产不匹配的情况下，要选择何种标的资产的合约。</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总的来看，套期保值者应选择具有足够流动性且与被套期保值的现货资产高度相关的合约品种。</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从远期和期货的选择来看，远期合约比较适合个性化需求与持有到期的情形；期货合约则在大多数情况下流动性较好，且可以采取提前平仓的方式结束头寸，但往往可得的品种较少。另外，期货有特殊的每日盯市结算与保证金要求，一般来说初始保证金的交纳并不会造成远期与期货头寸的较大差异，但在期货存续期内可能会产生补交保证金的情形，这在远期和期货的选择中也是一个重要的考虑因素。</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从合约标的资产来看，选择一个基差为零的期货合约是相当重要的，因为交叉套期保值的基差风险往往较大。在不可得的情况下，也要尽量选择与被套期保值的现货资产高度相关的合约品种，尽量减少基差风险。</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（二）合约到期日的选择</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投资者选择了期货进行套期保值后，可能发生市场中可得的期货到期日与套期保值到期时间无法完全吻合的现象。一般的操作原则，投资者通常选择比所需的套期保值月份略晚但尽量接近的品种，因为期货可以用提前平仓的方式来方便的结清头寸，避免单独的风险暴露。因此通常来说套期保值结束时，或者现货与期货头寸同时到期，或者现货到期的同时期货平仓结清。不太可能发生期货到期现货尚未到期的现象。</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有时可能出现套期保值的到期时间超过市场上所有可得的期货合约到期时间的情形，在这种情形下，套期保值者可以使用期限较短的期货合约，到期后再开立下一个到期月份的新头寸，直至套期保值结束。这个过程被称为“套期保值展期”，可能给套期保值者带来额外的风险。</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（三）合约头寸方向的选择</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基本原则就是当价格的上升可能对投资者造成不利的影响时，应该选择多头套期保值；价格的下跌可能对投资者造成不利的影响时，应该选择空头套期保值。</w:t>
      </w:r>
    </w:p>
    <w:p w:rsidR="00481206" w:rsidRPr="00481206" w:rsidRDefault="00481206" w:rsidP="00481206">
      <w:pPr>
        <w:spacing w:line="360" w:lineRule="auto"/>
        <w:ind w:firstLineChars="200" w:firstLine="480"/>
        <w:outlineLvl w:val="0"/>
        <w:rPr>
          <w:rFonts w:ascii="宋体" w:hAnsi="宋体"/>
          <w:bCs/>
          <w:sz w:val="24"/>
        </w:rPr>
      </w:pPr>
      <w:bookmarkStart w:id="626" w:name="_Toc444350316"/>
      <w:bookmarkStart w:id="627" w:name="_Toc474271791"/>
      <w:r w:rsidRPr="00481206">
        <w:rPr>
          <w:rFonts w:ascii="宋体" w:hAnsi="宋体" w:hint="eastAsia"/>
          <w:bCs/>
          <w:sz w:val="24"/>
        </w:rPr>
        <w:t>二、金融期货套期保值的基本步骤</w:t>
      </w:r>
      <w:bookmarkEnd w:id="626"/>
      <w:bookmarkEnd w:id="627"/>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第一步：金融风险的评估与套期保值目标的确定</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lastRenderedPageBreak/>
        <w:t>金融风险的评估：主要包括金融风险的性质、金融风险的大小、金融风险发生的概率、这种金融风险对自己的影响程度，以及这种金融风险所可能导致的损失同套期保值成本的比较等。</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套期保值目标的确定：一般是确定套期保值中金融期货的协议价格。</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第二步：套期保值工具的选择</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在选择时主要注意如下几个方面：</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第一，所选择金融期货合约的标的物应与现货工具具有高度的相关性；</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第二，所选择金融期货合约的期限与现货工具的期限高度相关，这样能消除基差风险；</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第三，应注意期货市场的流动性。</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第三步：套期保值比率的确定</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一般来讲，套期保值所需的期货合约数由下式来决定，即：</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26"/>
          <w:sz w:val="24"/>
        </w:rPr>
        <w:object w:dxaOrig="6979" w:dyaOrig="660">
          <v:shape id="_x0000_i1268" type="#_x0000_t75" style="width:348.75pt;height:33pt" o:ole="">
            <v:imagedata r:id="rId453" o:title=""/>
          </v:shape>
          <o:OLEObject Type="Embed" ProgID="Equation.3" ShapeID="_x0000_i1268" DrawAspect="Content" ObjectID="_1550061536" r:id="rId454"/>
        </w:object>
      </w:r>
      <w:r w:rsidRPr="00481206">
        <w:rPr>
          <w:rFonts w:ascii="宋体" w:hAnsi="宋体" w:hint="eastAsia"/>
          <w:bCs/>
          <w:sz w:val="24"/>
        </w:rPr>
        <w:t xml:space="preserve"> </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套期保值所需合约数取决于三个因素：一是现货部位的面值与期货部位面值的比率，也叫做套期保值比率；二是到期日调整系数；三是权数。</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一个因素，比如，某公司买进面值总额为500万美元的3个月期美国国库券，为避免市场利率的上升，从而国库券价格下跌的风险，该公司即可在买进国库券现货的同时在期货市场中卖出5张3个月美国国库券期货合约。这是因为每张合约的交易单位是面值100万美元的3个月期美国国库券。</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一般来讲，在大多数场合，简单地以现货部位面值与期货部位的面值之比决定所需的合约数，往往很难达到套期保值的目标，其中一个很重要的原因就是现货金融工具和套期保值期货合约的标的物有着不同的期限。比如：某投资者以3个月期的美国国库券期货合约对其持有的6个月期的美国国库券现货进行套期保值。当市场利率变动1个基点时，面值为100万美元的3个月期美国国库券期货合约的价值将增减25美元，而面值同样为100万美元的6个月期美国国库券现货的价值将增减50美元，为此，该投资者必须用2张3个月期的国库券期货合约对其持有的面值为100万美元的6个月期国库券现货实施套期保值。可见，在计算套期保值所需的期货合约数时，若期货合约的标的物与现货金融工具有着不同的到期日，则必须用“到期日调整系数”加以矫正。</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26"/>
          <w:sz w:val="24"/>
        </w:rPr>
        <w:object w:dxaOrig="4880" w:dyaOrig="660">
          <v:shape id="_x0000_i1269" type="#_x0000_t75" style="width:243.75pt;height:33pt" o:ole="">
            <v:imagedata r:id="rId455" o:title=""/>
          </v:shape>
          <o:OLEObject Type="Embed" ProgID="Equation.3" ShapeID="_x0000_i1269" DrawAspect="Content" ObjectID="_1550061537" r:id="rId456"/>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第三个因素权数，一般是根据对套期保值对象与套期保值工具的不同价格敏感性作出调整，以尽可能的提高套期保值的效率。</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对于套期保值比率的讨论：</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1.套期保值比率是指用于套期保值资产头寸的数量与被套期保值的资产头寸的数量的比率，即：</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26"/>
          <w:sz w:val="24"/>
        </w:rPr>
        <w:object w:dxaOrig="2980" w:dyaOrig="660">
          <v:shape id="_x0000_i1270" type="#_x0000_t75" style="width:149.25pt;height:33pt" o:ole="">
            <v:imagedata r:id="rId457" o:title=""/>
          </v:shape>
          <o:OLEObject Type="Embed" ProgID="Equation.3" ShapeID="_x0000_i1270" DrawAspect="Content" ObjectID="_1550061538" r:id="rId458"/>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如果是完全套期保值，此比率就等于1。所谓最优套期保值比率，是指能够最有效、最大程度的消除被保值对象价格变动风险的套期保值比率。</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我们假设1单位现货空头用n单位期货多头进行套期保值，投资者整个套期保值组合的价格变动可表达为：</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12"/>
          <w:sz w:val="24"/>
        </w:rPr>
        <w:object w:dxaOrig="4220" w:dyaOrig="360">
          <v:shape id="_x0000_i1271" type="#_x0000_t75" style="width:210.75pt;height:18pt" o:ole="">
            <v:imagedata r:id="rId459" o:title=""/>
          </v:shape>
          <o:OLEObject Type="Embed" ProgID="Equation.3" ShapeID="_x0000_i1271" DrawAspect="Content" ObjectID="_1550061539" r:id="rId460"/>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最优套期保值比率的确定就是使套期保值组合的价格变动对被套期保值的资产价格的变化敏感性为零的套期保值比了，也就是完全消除了现货资产价值变动带来的风险的套期保值比率，即下式成立：</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28"/>
          <w:sz w:val="24"/>
        </w:rPr>
        <w:object w:dxaOrig="1160" w:dyaOrig="660">
          <v:shape id="_x0000_i1272" type="#_x0000_t75" style="width:57.75pt;height:33pt" o:ole="">
            <v:imagedata r:id="rId461" o:title=""/>
          </v:shape>
          <o:OLEObject Type="Embed" ProgID="Equation.3" ShapeID="_x0000_i1272" DrawAspect="Content" ObjectID="_1550061540" r:id="rId462"/>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从上式中求出n，就得到了最优套期保值比率。</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2.最优套期保值比率的确定</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最优套期保值比率一般用最小方差套期保值，所谓最小方差套期保值比率，就是指套期保值的目标是使整个收益的波动最小化的套期保值比率，具体体现为套期保值收益的方差最小化。</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（1）单个资产收益和风险的确定</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证券的投资收益有两个来源：股利收入（或利息收入）和资本利得（或资本损失）。例如某段时间股票投资的收益率，等于现金股利加上股票价格的变化，再除以初始价格。证券投资的单期收益率可定义为：</w:t>
      </w:r>
    </w:p>
    <w:p w:rsidR="00481206" w:rsidRPr="00481206" w:rsidRDefault="00481206" w:rsidP="00481206">
      <w:pPr>
        <w:spacing w:line="360" w:lineRule="auto"/>
        <w:ind w:firstLine="480"/>
        <w:rPr>
          <w:rFonts w:ascii="宋体" w:hAnsi="宋体"/>
          <w:bCs/>
          <w:sz w:val="24"/>
        </w:rPr>
      </w:pPr>
      <w:r w:rsidRPr="00481206">
        <w:rPr>
          <w:rFonts w:ascii="宋体" w:hAnsi="宋体"/>
          <w:bCs/>
          <w:sz w:val="24"/>
        </w:rPr>
        <w:object w:dxaOrig="1960" w:dyaOrig="700">
          <v:shape id="_x0000_i1273" type="#_x0000_t75" style="width:98.25pt;height:35.25pt" o:ole="">
            <v:imagedata r:id="rId463" o:title=""/>
          </v:shape>
          <o:OLEObject Type="Embed" ProgID="Equation.3" ShapeID="_x0000_i1273" DrawAspect="Content" ObjectID="_1550061541" r:id="rId464"/>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其中，R为单个证券的收益率，t指特定的时间段，</w:t>
      </w:r>
      <w:r w:rsidRPr="00481206">
        <w:rPr>
          <w:rFonts w:ascii="宋体" w:hAnsi="宋体"/>
          <w:bCs/>
          <w:sz w:val="24"/>
        </w:rPr>
        <w:object w:dxaOrig="300" w:dyaOrig="360">
          <v:shape id="_x0000_i1274" type="#_x0000_t75" style="width:15pt;height:18pt" o:ole="">
            <v:imagedata r:id="rId465" o:title=""/>
          </v:shape>
          <o:OLEObject Type="Embed" ProgID="Equation.3" ShapeID="_x0000_i1274" DrawAspect="Content" ObjectID="_1550061542" r:id="rId466"/>
        </w:object>
      </w:r>
      <w:r w:rsidRPr="00481206">
        <w:rPr>
          <w:rFonts w:ascii="宋体" w:hAnsi="宋体" w:hint="eastAsia"/>
          <w:bCs/>
          <w:sz w:val="24"/>
        </w:rPr>
        <w:t>是第t期的现金股利（或利息收入），</w:t>
      </w:r>
      <w:r w:rsidRPr="00481206">
        <w:rPr>
          <w:rFonts w:ascii="宋体" w:hAnsi="宋体"/>
          <w:bCs/>
          <w:sz w:val="24"/>
        </w:rPr>
        <w:object w:dxaOrig="260" w:dyaOrig="360">
          <v:shape id="_x0000_i1275" type="#_x0000_t75" style="width:12.75pt;height:18pt" o:ole="">
            <v:imagedata r:id="rId467" o:title=""/>
          </v:shape>
          <o:OLEObject Type="Embed" ProgID="Equation.3" ShapeID="_x0000_i1275" DrawAspect="Content" ObjectID="_1550061543" r:id="rId468"/>
        </w:object>
      </w:r>
      <w:r w:rsidRPr="00481206">
        <w:rPr>
          <w:rFonts w:ascii="宋体" w:hAnsi="宋体" w:hint="eastAsia"/>
          <w:bCs/>
          <w:sz w:val="24"/>
        </w:rPr>
        <w:t>是第t期的证券价格，</w:t>
      </w:r>
      <w:r w:rsidRPr="00481206">
        <w:rPr>
          <w:rFonts w:ascii="宋体" w:hAnsi="宋体"/>
          <w:bCs/>
          <w:sz w:val="24"/>
        </w:rPr>
        <w:object w:dxaOrig="380" w:dyaOrig="360">
          <v:shape id="_x0000_i1276" type="#_x0000_t75" style="width:18.75pt;height:18pt" o:ole="">
            <v:imagedata r:id="rId469" o:title=""/>
          </v:shape>
          <o:OLEObject Type="Embed" ProgID="Equation.3" ShapeID="_x0000_i1276" DrawAspect="Content" ObjectID="_1550061544" r:id="rId470"/>
        </w:object>
      </w:r>
      <w:r w:rsidRPr="00481206">
        <w:rPr>
          <w:rFonts w:ascii="宋体" w:hAnsi="宋体" w:hint="eastAsia"/>
          <w:bCs/>
          <w:sz w:val="24"/>
        </w:rPr>
        <w:t>是第t-1期的证券价格，括号内代表该段时间的资本利得或资本损失。</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【例题】假设某投资者购买了价格为100元的股票，该股票向投资者支付每股7元的现金股利，一年后，该股票的价格上涨了到了106元，那么该股票的投资收益率为：</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[7+（106-100）]/100=13%</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由于风险证券的收益事先无法确切知道，投资者只能估计各种可能发生的结果以及每一个结果可能发生的概率，因此风险证券的收益率通常用统计学中的期望表示，即：</w:t>
      </w:r>
    </w:p>
    <w:p w:rsidR="00481206" w:rsidRPr="00481206" w:rsidRDefault="00481206" w:rsidP="00481206">
      <w:pPr>
        <w:spacing w:line="360" w:lineRule="auto"/>
        <w:ind w:firstLine="480"/>
        <w:rPr>
          <w:rFonts w:ascii="宋体" w:hAnsi="宋体"/>
          <w:bCs/>
          <w:sz w:val="24"/>
        </w:rPr>
      </w:pPr>
      <w:r w:rsidRPr="00481206">
        <w:rPr>
          <w:rFonts w:ascii="宋体" w:hAnsi="宋体"/>
          <w:bCs/>
          <w:sz w:val="24"/>
        </w:rPr>
        <w:object w:dxaOrig="1200" w:dyaOrig="680">
          <v:shape id="_x0000_i1277" type="#_x0000_t75" style="width:60pt;height:33.75pt" o:ole="">
            <v:imagedata r:id="rId471" o:title=""/>
          </v:shape>
          <o:OLEObject Type="Embed" ProgID="Equation.3" ShapeID="_x0000_i1277" DrawAspect="Content" ObjectID="_1550061545" r:id="rId472"/>
        </w:object>
      </w:r>
      <w:r w:rsidRPr="00481206">
        <w:rPr>
          <w:rFonts w:ascii="宋体" w:hAnsi="宋体" w:hint="eastAsia"/>
          <w:bCs/>
          <w:sz w:val="24"/>
        </w:rPr>
        <w:t xml:space="preserve">  </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其中，</w:t>
      </w:r>
      <w:r w:rsidRPr="00481206">
        <w:rPr>
          <w:rFonts w:ascii="宋体" w:hAnsi="宋体"/>
          <w:bCs/>
          <w:sz w:val="24"/>
        </w:rPr>
        <w:object w:dxaOrig="240" w:dyaOrig="320">
          <v:shape id="_x0000_i1278" type="#_x0000_t75" style="width:12pt;height:15.75pt" o:ole="">
            <v:imagedata r:id="rId473" o:title=""/>
          </v:shape>
          <o:OLEObject Type="Embed" ProgID="Equation.3" ShapeID="_x0000_i1278" DrawAspect="Content" ObjectID="_1550061546" r:id="rId474"/>
        </w:object>
      </w:r>
      <w:r w:rsidRPr="00481206">
        <w:rPr>
          <w:rFonts w:ascii="宋体" w:hAnsi="宋体" w:hint="eastAsia"/>
          <w:bCs/>
          <w:sz w:val="24"/>
        </w:rPr>
        <w:t>为预期收益率，</w:t>
      </w:r>
      <w:r w:rsidRPr="00481206">
        <w:rPr>
          <w:rFonts w:ascii="宋体" w:hAnsi="宋体"/>
          <w:bCs/>
          <w:sz w:val="24"/>
        </w:rPr>
        <w:object w:dxaOrig="260" w:dyaOrig="360">
          <v:shape id="_x0000_i1279" type="#_x0000_t75" style="width:12.75pt;height:18pt" o:ole="">
            <v:imagedata r:id="rId475" o:title=""/>
          </v:shape>
          <o:OLEObject Type="Embed" ProgID="Equation.3" ShapeID="_x0000_i1279" DrawAspect="Content" ObjectID="_1550061547" r:id="rId476"/>
        </w:object>
      </w:r>
      <w:r w:rsidRPr="00481206">
        <w:rPr>
          <w:rFonts w:ascii="宋体" w:hAnsi="宋体" w:hint="eastAsia"/>
          <w:bCs/>
          <w:sz w:val="24"/>
        </w:rPr>
        <w:t>为第i中可能的收益率，</w:t>
      </w:r>
      <w:r w:rsidRPr="00481206">
        <w:rPr>
          <w:rFonts w:ascii="宋体" w:hAnsi="宋体"/>
          <w:bCs/>
          <w:sz w:val="24"/>
        </w:rPr>
        <w:object w:dxaOrig="240" w:dyaOrig="360">
          <v:shape id="_x0000_i1280" type="#_x0000_t75" style="width:12pt;height:18pt" o:ole="">
            <v:imagedata r:id="rId477" o:title=""/>
          </v:shape>
          <o:OLEObject Type="Embed" ProgID="Equation.3" ShapeID="_x0000_i1280" DrawAspect="Content" ObjectID="_1550061548" r:id="rId478"/>
        </w:object>
      </w:r>
      <w:r w:rsidRPr="00481206">
        <w:rPr>
          <w:rFonts w:ascii="宋体" w:hAnsi="宋体" w:hint="eastAsia"/>
          <w:bCs/>
          <w:sz w:val="24"/>
        </w:rPr>
        <w:t>是收益率发生的概率，n代表可能性的数目。</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预期收益率描述的是以概率为权重的平均收益率。实际收益率与预期收益率的偏差越大，投资于该证券的风险也越大，因此单个证券的风险通常用统计学中的方差或标准差表示，即：</w:t>
      </w:r>
    </w:p>
    <w:p w:rsidR="00481206" w:rsidRPr="00481206" w:rsidRDefault="00481206" w:rsidP="00481206">
      <w:pPr>
        <w:spacing w:line="360" w:lineRule="auto"/>
        <w:ind w:firstLine="480"/>
        <w:rPr>
          <w:rFonts w:ascii="宋体" w:hAnsi="宋体"/>
          <w:bCs/>
          <w:sz w:val="24"/>
        </w:rPr>
      </w:pPr>
      <w:r w:rsidRPr="00481206">
        <w:rPr>
          <w:rFonts w:ascii="宋体" w:hAnsi="宋体"/>
          <w:bCs/>
          <w:sz w:val="24"/>
        </w:rPr>
        <w:object w:dxaOrig="2079" w:dyaOrig="760">
          <v:shape id="_x0000_i1281" type="#_x0000_t75" style="width:104.25pt;height:38.25pt" o:ole="">
            <v:imagedata r:id="rId479" o:title=""/>
          </v:shape>
          <o:OLEObject Type="Embed" ProgID="Equation.3" ShapeID="_x0000_i1281" DrawAspect="Content" ObjectID="_1550061549" r:id="rId480"/>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【例题】某种证券的未来收益率的可能性如表所示，则它的预期收益率和标准差为？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5"/>
        <w:gridCol w:w="884"/>
        <w:gridCol w:w="2638"/>
        <w:gridCol w:w="3711"/>
      </w:tblGrid>
      <w:tr w:rsidR="00481206" w:rsidRPr="00481206" w:rsidTr="00CF0F4C">
        <w:tc>
          <w:tcPr>
            <w:tcW w:w="1106" w:type="pct"/>
            <w:tcBorders>
              <w:left w:val="nil"/>
            </w:tcBorders>
            <w:vAlign w:val="center"/>
          </w:tcPr>
          <w:p w:rsidR="00481206" w:rsidRPr="00481206" w:rsidRDefault="00481206" w:rsidP="00CF0F4C">
            <w:pPr>
              <w:rPr>
                <w:rFonts w:ascii="宋体" w:hAnsi="宋体"/>
                <w:bCs/>
                <w:sz w:val="24"/>
              </w:rPr>
            </w:pPr>
            <w:r w:rsidRPr="00481206">
              <w:rPr>
                <w:rFonts w:ascii="宋体" w:hAnsi="宋体" w:hint="eastAsia"/>
                <w:bCs/>
                <w:sz w:val="24"/>
              </w:rPr>
              <w:t>可能的收益率</w:t>
            </w:r>
          </w:p>
        </w:tc>
        <w:tc>
          <w:tcPr>
            <w:tcW w:w="476" w:type="pct"/>
            <w:vAlign w:val="center"/>
          </w:tcPr>
          <w:p w:rsidR="00481206" w:rsidRPr="00481206" w:rsidRDefault="00481206" w:rsidP="00CF0F4C">
            <w:pPr>
              <w:rPr>
                <w:rFonts w:ascii="宋体" w:hAnsi="宋体"/>
                <w:bCs/>
                <w:sz w:val="24"/>
              </w:rPr>
            </w:pPr>
            <w:r w:rsidRPr="00481206">
              <w:rPr>
                <w:rFonts w:ascii="宋体" w:hAnsi="宋体" w:hint="eastAsia"/>
                <w:bCs/>
                <w:sz w:val="24"/>
              </w:rPr>
              <w:t>概率</w:t>
            </w:r>
          </w:p>
        </w:tc>
        <w:tc>
          <w:tcPr>
            <w:tcW w:w="1420" w:type="pct"/>
            <w:vAlign w:val="center"/>
          </w:tcPr>
          <w:p w:rsidR="00481206" w:rsidRPr="00481206" w:rsidRDefault="00481206" w:rsidP="00CF0F4C">
            <w:pPr>
              <w:rPr>
                <w:rFonts w:ascii="宋体" w:hAnsi="宋体"/>
                <w:bCs/>
                <w:sz w:val="24"/>
              </w:rPr>
            </w:pPr>
            <w:r w:rsidRPr="00481206">
              <w:rPr>
                <w:rFonts w:ascii="宋体" w:hAnsi="宋体" w:hint="eastAsia"/>
                <w:bCs/>
                <w:sz w:val="24"/>
              </w:rPr>
              <w:t>预期收益率的计算</w:t>
            </w:r>
          </w:p>
        </w:tc>
        <w:tc>
          <w:tcPr>
            <w:tcW w:w="1997" w:type="pct"/>
            <w:tcBorders>
              <w:right w:val="nil"/>
            </w:tcBorders>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方差的计算</w:t>
            </w:r>
          </w:p>
        </w:tc>
      </w:tr>
      <w:tr w:rsidR="00481206" w:rsidRPr="00481206" w:rsidTr="00CF0F4C">
        <w:tc>
          <w:tcPr>
            <w:tcW w:w="1106" w:type="pct"/>
            <w:tcBorders>
              <w:left w:val="nil"/>
            </w:tcBorders>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-0.1</w:t>
            </w:r>
          </w:p>
        </w:tc>
        <w:tc>
          <w:tcPr>
            <w:tcW w:w="476" w:type="pct"/>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0.05</w:t>
            </w:r>
          </w:p>
        </w:tc>
        <w:tc>
          <w:tcPr>
            <w:tcW w:w="1420" w:type="pct"/>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0.05*(-0.1)=-0.005</w:t>
            </w:r>
          </w:p>
        </w:tc>
        <w:tc>
          <w:tcPr>
            <w:tcW w:w="1997" w:type="pct"/>
            <w:tcBorders>
              <w:right w:val="nil"/>
            </w:tcBorders>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(-0.1-0.09) (-0.1-0.09)*0.05</w:t>
            </w:r>
          </w:p>
        </w:tc>
      </w:tr>
      <w:tr w:rsidR="00481206" w:rsidRPr="00481206" w:rsidTr="00CF0F4C">
        <w:tc>
          <w:tcPr>
            <w:tcW w:w="1106" w:type="pct"/>
            <w:tcBorders>
              <w:left w:val="nil"/>
            </w:tcBorders>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-0.02</w:t>
            </w:r>
          </w:p>
        </w:tc>
        <w:tc>
          <w:tcPr>
            <w:tcW w:w="476" w:type="pct"/>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0.1</w:t>
            </w:r>
          </w:p>
        </w:tc>
        <w:tc>
          <w:tcPr>
            <w:tcW w:w="1420" w:type="pct"/>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0.1*(-0.02)=-0.002</w:t>
            </w:r>
          </w:p>
        </w:tc>
        <w:tc>
          <w:tcPr>
            <w:tcW w:w="1997" w:type="pct"/>
            <w:tcBorders>
              <w:right w:val="nil"/>
            </w:tcBorders>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(-0.02-0.09) (-0.02-0.09)*0.1</w:t>
            </w:r>
          </w:p>
        </w:tc>
      </w:tr>
      <w:tr w:rsidR="00481206" w:rsidRPr="00481206" w:rsidTr="00CF0F4C">
        <w:tc>
          <w:tcPr>
            <w:tcW w:w="1106" w:type="pct"/>
            <w:tcBorders>
              <w:left w:val="nil"/>
            </w:tcBorders>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0.04</w:t>
            </w:r>
          </w:p>
        </w:tc>
        <w:tc>
          <w:tcPr>
            <w:tcW w:w="476" w:type="pct"/>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0.2</w:t>
            </w:r>
          </w:p>
        </w:tc>
        <w:tc>
          <w:tcPr>
            <w:tcW w:w="1420" w:type="pct"/>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0.04*0.2=0.008</w:t>
            </w:r>
          </w:p>
        </w:tc>
        <w:tc>
          <w:tcPr>
            <w:tcW w:w="1997" w:type="pct"/>
            <w:tcBorders>
              <w:right w:val="nil"/>
            </w:tcBorders>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(0.04-0.09) (0.04-0.09)*0.2</w:t>
            </w:r>
          </w:p>
        </w:tc>
      </w:tr>
      <w:tr w:rsidR="00481206" w:rsidRPr="00481206" w:rsidTr="00CF0F4C">
        <w:tc>
          <w:tcPr>
            <w:tcW w:w="1106" w:type="pct"/>
            <w:tcBorders>
              <w:left w:val="nil"/>
            </w:tcBorders>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0.09</w:t>
            </w:r>
          </w:p>
        </w:tc>
        <w:tc>
          <w:tcPr>
            <w:tcW w:w="476" w:type="pct"/>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0.3</w:t>
            </w:r>
          </w:p>
        </w:tc>
        <w:tc>
          <w:tcPr>
            <w:tcW w:w="1420" w:type="pct"/>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0.09*0.3=0.027</w:t>
            </w:r>
          </w:p>
        </w:tc>
        <w:tc>
          <w:tcPr>
            <w:tcW w:w="1997" w:type="pct"/>
            <w:tcBorders>
              <w:right w:val="nil"/>
            </w:tcBorders>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(0.09-0.09) (0.09-0.09)*0.3</w:t>
            </w:r>
          </w:p>
        </w:tc>
      </w:tr>
      <w:tr w:rsidR="00481206" w:rsidRPr="00481206" w:rsidTr="00CF0F4C">
        <w:tc>
          <w:tcPr>
            <w:tcW w:w="1106" w:type="pct"/>
            <w:tcBorders>
              <w:left w:val="nil"/>
            </w:tcBorders>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0.14</w:t>
            </w:r>
          </w:p>
        </w:tc>
        <w:tc>
          <w:tcPr>
            <w:tcW w:w="476" w:type="pct"/>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0.3</w:t>
            </w:r>
          </w:p>
        </w:tc>
        <w:tc>
          <w:tcPr>
            <w:tcW w:w="1420" w:type="pct"/>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0.14*0.3=0.028</w:t>
            </w:r>
          </w:p>
        </w:tc>
        <w:tc>
          <w:tcPr>
            <w:tcW w:w="1997" w:type="pct"/>
            <w:tcBorders>
              <w:right w:val="nil"/>
            </w:tcBorders>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(0.14-0.09) (0.14-0.09)*0.3</w:t>
            </w:r>
          </w:p>
        </w:tc>
      </w:tr>
      <w:tr w:rsidR="00481206" w:rsidRPr="00481206" w:rsidTr="00CF0F4C">
        <w:tc>
          <w:tcPr>
            <w:tcW w:w="1106" w:type="pct"/>
            <w:tcBorders>
              <w:left w:val="nil"/>
            </w:tcBorders>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lastRenderedPageBreak/>
              <w:t>0.2</w:t>
            </w:r>
          </w:p>
        </w:tc>
        <w:tc>
          <w:tcPr>
            <w:tcW w:w="476" w:type="pct"/>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0.1</w:t>
            </w:r>
          </w:p>
        </w:tc>
        <w:tc>
          <w:tcPr>
            <w:tcW w:w="1420" w:type="pct"/>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0.2*0.1=0.002</w:t>
            </w:r>
          </w:p>
        </w:tc>
        <w:tc>
          <w:tcPr>
            <w:tcW w:w="1997" w:type="pct"/>
            <w:tcBorders>
              <w:right w:val="nil"/>
            </w:tcBorders>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(0.2-0.09) (0.2-0.09)*0.1</w:t>
            </w:r>
          </w:p>
        </w:tc>
      </w:tr>
      <w:tr w:rsidR="00481206" w:rsidRPr="00481206" w:rsidTr="00CF0F4C">
        <w:tc>
          <w:tcPr>
            <w:tcW w:w="1106" w:type="pct"/>
            <w:tcBorders>
              <w:left w:val="nil"/>
            </w:tcBorders>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0.28</w:t>
            </w:r>
          </w:p>
        </w:tc>
        <w:tc>
          <w:tcPr>
            <w:tcW w:w="476" w:type="pct"/>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0.05</w:t>
            </w:r>
          </w:p>
        </w:tc>
        <w:tc>
          <w:tcPr>
            <w:tcW w:w="1420" w:type="pct"/>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0.28*0.05=0.014</w:t>
            </w:r>
          </w:p>
        </w:tc>
        <w:tc>
          <w:tcPr>
            <w:tcW w:w="1997" w:type="pct"/>
            <w:tcBorders>
              <w:right w:val="nil"/>
            </w:tcBorders>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(0.28-0.09) (0.28-0.09)*0.05</w:t>
            </w:r>
          </w:p>
        </w:tc>
      </w:tr>
      <w:tr w:rsidR="00481206" w:rsidRPr="00481206" w:rsidTr="00CF0F4C">
        <w:tc>
          <w:tcPr>
            <w:tcW w:w="1106" w:type="pct"/>
            <w:tcBorders>
              <w:left w:val="nil"/>
            </w:tcBorders>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求和</w:t>
            </w:r>
          </w:p>
        </w:tc>
        <w:tc>
          <w:tcPr>
            <w:tcW w:w="476" w:type="pct"/>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1</w:t>
            </w:r>
          </w:p>
        </w:tc>
        <w:tc>
          <w:tcPr>
            <w:tcW w:w="1420" w:type="pct"/>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0.09</w:t>
            </w:r>
          </w:p>
        </w:tc>
        <w:tc>
          <w:tcPr>
            <w:tcW w:w="1997" w:type="pct"/>
            <w:tcBorders>
              <w:right w:val="nil"/>
            </w:tcBorders>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0.00703</w:t>
            </w:r>
          </w:p>
        </w:tc>
      </w:tr>
      <w:tr w:rsidR="00481206" w:rsidRPr="00481206" w:rsidTr="00CF0F4C">
        <w:tc>
          <w:tcPr>
            <w:tcW w:w="1106" w:type="pct"/>
            <w:tcBorders>
              <w:left w:val="nil"/>
            </w:tcBorders>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标准差</w:t>
            </w:r>
          </w:p>
        </w:tc>
        <w:tc>
          <w:tcPr>
            <w:tcW w:w="3894" w:type="pct"/>
            <w:gridSpan w:val="3"/>
            <w:tcBorders>
              <w:right w:val="nil"/>
            </w:tcBorders>
            <w:vAlign w:val="center"/>
          </w:tcPr>
          <w:p w:rsidR="00481206" w:rsidRPr="00481206" w:rsidRDefault="00481206" w:rsidP="00CF0F4C">
            <w:pPr>
              <w:ind w:firstLine="482"/>
              <w:rPr>
                <w:rFonts w:ascii="宋体" w:hAnsi="宋体"/>
                <w:bCs/>
                <w:sz w:val="24"/>
              </w:rPr>
            </w:pPr>
            <w:r w:rsidRPr="00481206">
              <w:rPr>
                <w:rFonts w:ascii="宋体" w:hAnsi="宋体" w:hint="eastAsia"/>
                <w:bCs/>
                <w:sz w:val="24"/>
              </w:rPr>
              <w:t>0.0838</w:t>
            </w:r>
          </w:p>
        </w:tc>
      </w:tr>
    </w:tbl>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（2）两种资产收益和风险的确定</w:t>
      </w:r>
    </w:p>
    <w:p w:rsidR="00481206" w:rsidRPr="00481206" w:rsidRDefault="00481206" w:rsidP="00481206">
      <w:pPr>
        <w:spacing w:line="360" w:lineRule="auto"/>
        <w:ind w:firstLineChars="250" w:firstLine="600"/>
        <w:rPr>
          <w:rFonts w:ascii="宋体" w:hAnsi="宋体"/>
          <w:sz w:val="24"/>
        </w:rPr>
      </w:pPr>
      <w:r w:rsidRPr="00481206">
        <w:rPr>
          <w:rFonts w:ascii="宋体" w:hAnsi="宋体" w:hint="eastAsia"/>
          <w:sz w:val="24"/>
        </w:rPr>
        <w:t>两种证券组合的预期收益率：</w:t>
      </w:r>
    </w:p>
    <w:p w:rsidR="00481206" w:rsidRPr="00481206" w:rsidRDefault="00481206" w:rsidP="00481206">
      <w:pPr>
        <w:spacing w:line="360" w:lineRule="auto"/>
        <w:ind w:leftChars="171" w:left="359" w:firstLineChars="50" w:firstLine="120"/>
        <w:rPr>
          <w:rFonts w:ascii="宋体" w:hAnsi="宋体"/>
          <w:sz w:val="24"/>
        </w:rPr>
      </w:pPr>
      <w:r w:rsidRPr="00481206">
        <w:rPr>
          <w:rFonts w:ascii="宋体" w:hAnsi="宋体"/>
          <w:position w:val="-10"/>
          <w:sz w:val="24"/>
        </w:rPr>
        <w:object w:dxaOrig="2100" w:dyaOrig="380">
          <v:shape id="_x0000_i1282" type="#_x0000_t75" style="width:105pt;height:18.75pt" o:ole="">
            <v:imagedata r:id="rId481" o:title=""/>
          </v:shape>
          <o:OLEObject Type="Embed" ProgID="Equation.3" ShapeID="_x0000_i1282" DrawAspect="Content" ObjectID="_1550061550" r:id="rId482"/>
        </w:object>
      </w:r>
    </w:p>
    <w:p w:rsidR="00481206" w:rsidRPr="00481206" w:rsidRDefault="00481206" w:rsidP="00481206">
      <w:pPr>
        <w:spacing w:line="360" w:lineRule="auto"/>
        <w:rPr>
          <w:rFonts w:ascii="宋体" w:hAnsi="宋体"/>
          <w:sz w:val="24"/>
        </w:rPr>
      </w:pPr>
      <w:r w:rsidRPr="00481206">
        <w:rPr>
          <w:rFonts w:ascii="宋体" w:hAnsi="宋体" w:hint="eastAsia"/>
          <w:sz w:val="24"/>
        </w:rPr>
        <w:t xml:space="preserve">     A和B是两种证券，XA和XB分别是两种证券的投资比重，其中，XA+XB=1，</w:t>
      </w:r>
      <w:r w:rsidRPr="00481206">
        <w:rPr>
          <w:rFonts w:ascii="宋体" w:hAnsi="宋体"/>
          <w:position w:val="-6"/>
          <w:sz w:val="24"/>
        </w:rPr>
        <w:object w:dxaOrig="340" w:dyaOrig="340">
          <v:shape id="_x0000_i1283" type="#_x0000_t75" style="width:17.25pt;height:17.25pt" o:ole="">
            <v:imagedata r:id="rId483" o:title=""/>
          </v:shape>
          <o:OLEObject Type="Embed" ProgID="Equation.3" ShapeID="_x0000_i1283" DrawAspect="Content" ObjectID="_1550061551" r:id="rId484"/>
        </w:object>
      </w:r>
      <w:r w:rsidRPr="00481206">
        <w:rPr>
          <w:rFonts w:ascii="宋体" w:hAnsi="宋体" w:hint="eastAsia"/>
          <w:sz w:val="24"/>
        </w:rPr>
        <w:t>和</w:t>
      </w:r>
      <w:r w:rsidRPr="00481206">
        <w:rPr>
          <w:rFonts w:ascii="宋体" w:hAnsi="宋体"/>
          <w:position w:val="-6"/>
          <w:sz w:val="24"/>
        </w:rPr>
        <w:object w:dxaOrig="340" w:dyaOrig="340">
          <v:shape id="_x0000_i1284" type="#_x0000_t75" style="width:17.25pt;height:17.25pt" o:ole="">
            <v:imagedata r:id="rId485" o:title=""/>
          </v:shape>
          <o:OLEObject Type="Embed" ProgID="Equation.3" ShapeID="_x0000_i1284" DrawAspect="Content" ObjectID="_1550061552" r:id="rId486"/>
        </w:object>
      </w:r>
      <w:r w:rsidRPr="00481206">
        <w:rPr>
          <w:rFonts w:ascii="宋体" w:hAnsi="宋体" w:hint="eastAsia"/>
          <w:sz w:val="24"/>
        </w:rPr>
        <w:t>分别是两种证券的预期收益率，以各自的投资比重为权重进行加权平均。</w:t>
      </w:r>
      <w:r w:rsidRPr="00481206">
        <w:rPr>
          <w:rFonts w:ascii="宋体" w:hAnsi="宋体"/>
          <w:position w:val="-10"/>
          <w:sz w:val="24"/>
        </w:rPr>
        <w:object w:dxaOrig="340" w:dyaOrig="380">
          <v:shape id="_x0000_i1285" type="#_x0000_t75" style="width:17.25pt;height:18.75pt" o:ole="">
            <v:imagedata r:id="rId487" o:title=""/>
          </v:shape>
          <o:OLEObject Type="Embed" ProgID="Equation.3" ShapeID="_x0000_i1285" DrawAspect="Content" ObjectID="_1550061553" r:id="rId488"/>
        </w:object>
      </w:r>
      <w:r w:rsidRPr="00481206">
        <w:rPr>
          <w:rFonts w:ascii="宋体" w:hAnsi="宋体" w:hint="eastAsia"/>
          <w:sz w:val="24"/>
        </w:rPr>
        <w:t>为证券组合的预期收益率。</w:t>
      </w:r>
    </w:p>
    <w:p w:rsidR="00481206" w:rsidRPr="00481206" w:rsidRDefault="00481206" w:rsidP="00481206">
      <w:pPr>
        <w:spacing w:line="360" w:lineRule="auto"/>
        <w:ind w:leftChars="171" w:left="359" w:firstLineChars="50" w:firstLine="120"/>
        <w:rPr>
          <w:rFonts w:ascii="宋体" w:hAnsi="宋体"/>
          <w:sz w:val="24"/>
        </w:rPr>
      </w:pPr>
      <w:r w:rsidRPr="00481206">
        <w:rPr>
          <w:rFonts w:ascii="宋体" w:hAnsi="宋体" w:hint="eastAsia"/>
          <w:sz w:val="24"/>
        </w:rPr>
        <w:t>两种证券组合的风险（用收益率的方差表示）</w:t>
      </w:r>
    </w:p>
    <w:p w:rsidR="00481206" w:rsidRPr="00481206" w:rsidRDefault="00481206" w:rsidP="00481206">
      <w:pPr>
        <w:spacing w:line="360" w:lineRule="auto"/>
        <w:rPr>
          <w:rFonts w:ascii="宋体" w:hAnsi="宋体"/>
          <w:sz w:val="24"/>
        </w:rPr>
      </w:pPr>
      <w:r w:rsidRPr="00481206">
        <w:rPr>
          <w:rFonts w:ascii="宋体" w:hAnsi="宋体" w:hint="eastAsia"/>
          <w:sz w:val="24"/>
        </w:rPr>
        <w:t xml:space="preserve">    </w:t>
      </w:r>
      <w:r w:rsidRPr="00481206">
        <w:rPr>
          <w:rFonts w:ascii="宋体" w:hAnsi="宋体"/>
          <w:position w:val="-10"/>
          <w:sz w:val="24"/>
        </w:rPr>
        <w:object w:dxaOrig="3400" w:dyaOrig="360">
          <v:shape id="_x0000_i1286" type="#_x0000_t75" style="width:170.25pt;height:18pt" o:ole="">
            <v:imagedata r:id="rId489" o:title=""/>
          </v:shape>
          <o:OLEObject Type="Embed" ProgID="Equation.3" ShapeID="_x0000_i1286" DrawAspect="Content" ObjectID="_1550061554" r:id="rId490"/>
        </w:object>
      </w:r>
    </w:p>
    <w:p w:rsidR="00481206" w:rsidRPr="00481206" w:rsidRDefault="00481206" w:rsidP="00481206">
      <w:pPr>
        <w:spacing w:line="360" w:lineRule="auto"/>
        <w:rPr>
          <w:rFonts w:ascii="宋体" w:hAnsi="宋体"/>
          <w:sz w:val="24"/>
        </w:rPr>
      </w:pPr>
      <w:r w:rsidRPr="00481206">
        <w:rPr>
          <w:rFonts w:ascii="宋体" w:hAnsi="宋体" w:hint="eastAsia"/>
          <w:sz w:val="24"/>
        </w:rPr>
        <w:t xml:space="preserve">    其中，</w:t>
      </w:r>
      <w:r w:rsidRPr="00481206">
        <w:rPr>
          <w:rFonts w:ascii="宋体" w:hAnsi="宋体"/>
          <w:position w:val="-10"/>
          <w:sz w:val="24"/>
        </w:rPr>
        <w:object w:dxaOrig="420" w:dyaOrig="340">
          <v:shape id="_x0000_i1287" type="#_x0000_t75" style="width:21pt;height:17.25pt" o:ole="">
            <v:imagedata r:id="rId491" o:title=""/>
          </v:shape>
          <o:OLEObject Type="Embed" ProgID="Equation.3" ShapeID="_x0000_i1287" DrawAspect="Content" ObjectID="_1550061555" r:id="rId492"/>
        </w:object>
      </w:r>
      <w:r w:rsidRPr="00481206">
        <w:rPr>
          <w:rFonts w:ascii="宋体" w:hAnsi="宋体" w:hint="eastAsia"/>
          <w:sz w:val="24"/>
        </w:rPr>
        <w:t>为证券A和B实际收益率与预期收益率离差之积的期望，即为协方差，协方差的计算公式为：</w:t>
      </w:r>
    </w:p>
    <w:p w:rsidR="00481206" w:rsidRPr="00481206" w:rsidRDefault="00481206" w:rsidP="00481206">
      <w:pPr>
        <w:spacing w:line="360" w:lineRule="auto"/>
        <w:ind w:leftChars="171" w:left="359" w:firstLineChars="50" w:firstLine="120"/>
        <w:rPr>
          <w:rFonts w:ascii="宋体" w:hAnsi="宋体"/>
          <w:sz w:val="24"/>
        </w:rPr>
      </w:pPr>
      <w:r w:rsidRPr="00481206">
        <w:rPr>
          <w:rFonts w:ascii="宋体" w:hAnsi="宋体"/>
          <w:position w:val="-28"/>
          <w:sz w:val="24"/>
        </w:rPr>
        <w:object w:dxaOrig="3120" w:dyaOrig="560">
          <v:shape id="_x0000_i1288" type="#_x0000_t75" style="width:156pt;height:27.75pt" o:ole="">
            <v:imagedata r:id="rId493" o:title=""/>
          </v:shape>
          <o:OLEObject Type="Embed" ProgID="Equation.3" ShapeID="_x0000_i1288" DrawAspect="Content" ObjectID="_1550061556" r:id="rId494"/>
        </w:objec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正的协方差表明两个变量朝同一方向变动，负的协方差表明两个变量朝相反方向变动。除协方差之外，还可以用相关系数表示两种证券收益变动的相关关系，协方差和相关系数的关系为：</w:t>
      </w:r>
    </w:p>
    <w:p w:rsidR="00481206" w:rsidRPr="00481206" w:rsidRDefault="00481206" w:rsidP="00481206">
      <w:pPr>
        <w:spacing w:line="360" w:lineRule="auto"/>
        <w:ind w:left="360"/>
        <w:rPr>
          <w:rFonts w:ascii="宋体" w:hAnsi="宋体"/>
          <w:sz w:val="24"/>
        </w:rPr>
      </w:pPr>
      <w:r w:rsidRPr="00481206">
        <w:rPr>
          <w:rFonts w:ascii="宋体" w:hAnsi="宋体" w:hint="eastAsia"/>
          <w:sz w:val="24"/>
        </w:rPr>
        <w:t xml:space="preserve"> </w:t>
      </w:r>
      <w:r w:rsidRPr="00481206">
        <w:rPr>
          <w:rFonts w:ascii="宋体" w:hAnsi="宋体"/>
          <w:position w:val="-10"/>
          <w:sz w:val="24"/>
        </w:rPr>
        <w:object w:dxaOrig="1780" w:dyaOrig="340">
          <v:shape id="_x0000_i1289" type="#_x0000_t75" style="width:89.25pt;height:17.25pt" o:ole="">
            <v:imagedata r:id="rId495" o:title=""/>
          </v:shape>
          <o:OLEObject Type="Embed" ProgID="Equation.3" ShapeID="_x0000_i1289" DrawAspect="Content" ObjectID="_1550061557" r:id="rId496"/>
        </w:objec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注意：相关系数的取值范围为[-1,1]</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这样两种证券组合的风险（用收益率的方差表示）又可表示为：</w:t>
      </w:r>
    </w:p>
    <w:p w:rsidR="00481206" w:rsidRPr="00481206" w:rsidRDefault="00481206" w:rsidP="00481206">
      <w:pPr>
        <w:spacing w:line="360" w:lineRule="auto"/>
        <w:ind w:leftChars="171" w:left="359" w:firstLineChars="50" w:firstLine="120"/>
        <w:rPr>
          <w:rFonts w:ascii="宋体" w:hAnsi="宋体"/>
          <w:sz w:val="24"/>
        </w:rPr>
      </w:pPr>
      <w:r w:rsidRPr="00481206">
        <w:rPr>
          <w:rFonts w:ascii="宋体" w:hAnsi="宋体"/>
          <w:position w:val="-10"/>
          <w:sz w:val="24"/>
        </w:rPr>
        <w:object w:dxaOrig="3960" w:dyaOrig="360">
          <v:shape id="_x0000_i1290" type="#_x0000_t75" style="width:198pt;height:18pt" o:ole="">
            <v:imagedata r:id="rId497" o:title=""/>
          </v:shape>
          <o:OLEObject Type="Embed" ProgID="Equation.3" ShapeID="_x0000_i1290" DrawAspect="Content" ObjectID="_1550061558" r:id="rId498"/>
        </w:objec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（3）最小方差套期保值比率的确定</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套期保值收益的方差</w:t>
      </w:r>
      <w:r w:rsidRPr="00481206">
        <w:rPr>
          <w:rFonts w:ascii="宋体" w:hAnsi="宋体"/>
          <w:bCs/>
          <w:position w:val="-10"/>
          <w:sz w:val="24"/>
        </w:rPr>
        <w:object w:dxaOrig="360" w:dyaOrig="360">
          <v:shape id="_x0000_i1291" type="#_x0000_t75" style="width:18pt;height:18pt" o:ole="">
            <v:imagedata r:id="rId499" o:title=""/>
          </v:shape>
          <o:OLEObject Type="Embed" ProgID="Equation.3" ShapeID="_x0000_i1291" DrawAspect="Content" ObjectID="_1550061559" r:id="rId500"/>
        </w:object>
      </w:r>
      <w:r w:rsidRPr="00481206">
        <w:rPr>
          <w:rFonts w:ascii="宋体" w:hAnsi="宋体" w:hint="eastAsia"/>
          <w:bCs/>
          <w:sz w:val="24"/>
        </w:rPr>
        <w:t>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2"/>
          <w:sz w:val="24"/>
        </w:rPr>
        <w:object w:dxaOrig="5380" w:dyaOrig="380">
          <v:shape id="_x0000_i1292" type="#_x0000_t75" style="width:269.25pt;height:18.75pt" o:ole="">
            <v:imagedata r:id="rId501" o:title=""/>
          </v:shape>
          <o:OLEObject Type="Embed" ProgID="Equation.3" ShapeID="_x0000_i1292" DrawAspect="Content" ObjectID="_1550061560" r:id="rId502"/>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其中，</w:t>
      </w:r>
      <w:r w:rsidRPr="00481206">
        <w:rPr>
          <w:rFonts w:ascii="宋体" w:hAnsi="宋体"/>
          <w:bCs/>
          <w:position w:val="-10"/>
          <w:sz w:val="24"/>
        </w:rPr>
        <w:object w:dxaOrig="360" w:dyaOrig="360">
          <v:shape id="_x0000_i1293" type="#_x0000_t75" style="width:18pt;height:18pt" o:ole="">
            <v:imagedata r:id="rId503" o:title=""/>
          </v:shape>
          <o:OLEObject Type="Embed" ProgID="Equation.3" ShapeID="_x0000_i1293" DrawAspect="Content" ObjectID="_1550061561" r:id="rId504"/>
        </w:object>
      </w:r>
      <w:r w:rsidRPr="00481206">
        <w:rPr>
          <w:rFonts w:ascii="宋体" w:hAnsi="宋体" w:hint="eastAsia"/>
          <w:bCs/>
          <w:sz w:val="24"/>
        </w:rPr>
        <w:t>与</w:t>
      </w:r>
      <w:r w:rsidRPr="00481206">
        <w:rPr>
          <w:rFonts w:ascii="宋体" w:hAnsi="宋体"/>
          <w:bCs/>
          <w:position w:val="-12"/>
          <w:sz w:val="24"/>
        </w:rPr>
        <w:object w:dxaOrig="340" w:dyaOrig="380">
          <v:shape id="_x0000_i1294" type="#_x0000_t75" style="width:17.25pt;height:18.75pt" o:ole="">
            <v:imagedata r:id="rId505" o:title=""/>
          </v:shape>
          <o:OLEObject Type="Embed" ProgID="Equation.3" ShapeID="_x0000_i1294" DrawAspect="Content" ObjectID="_1550061562" r:id="rId506"/>
        </w:object>
      </w:r>
      <w:r w:rsidRPr="00481206">
        <w:rPr>
          <w:rFonts w:ascii="宋体" w:hAnsi="宋体" w:hint="eastAsia"/>
          <w:bCs/>
          <w:sz w:val="24"/>
        </w:rPr>
        <w:t>分别为现货价格变化</w:t>
      </w:r>
      <w:r w:rsidRPr="00481206">
        <w:rPr>
          <w:rFonts w:ascii="宋体" w:hAnsi="宋体"/>
          <w:bCs/>
          <w:position w:val="-4"/>
          <w:sz w:val="24"/>
        </w:rPr>
        <w:object w:dxaOrig="420" w:dyaOrig="260">
          <v:shape id="_x0000_i1295" type="#_x0000_t75" style="width:21pt;height:12.75pt" o:ole="">
            <v:imagedata r:id="rId507" o:title=""/>
          </v:shape>
          <o:OLEObject Type="Embed" ProgID="Equation.3" ShapeID="_x0000_i1295" DrawAspect="Content" ObjectID="_1550061563" r:id="rId508"/>
        </w:object>
      </w:r>
      <w:r w:rsidRPr="00481206">
        <w:rPr>
          <w:rFonts w:ascii="宋体" w:hAnsi="宋体" w:hint="eastAsia"/>
          <w:bCs/>
          <w:sz w:val="24"/>
        </w:rPr>
        <w:t>与期货价格的变化</w:t>
      </w:r>
      <w:r w:rsidRPr="00481206">
        <w:rPr>
          <w:rFonts w:ascii="宋体" w:hAnsi="宋体"/>
          <w:bCs/>
          <w:position w:val="-6"/>
          <w:sz w:val="24"/>
        </w:rPr>
        <w:object w:dxaOrig="400" w:dyaOrig="279">
          <v:shape id="_x0000_i1296" type="#_x0000_t75" style="width:20.25pt;height:14.25pt" o:ole="">
            <v:imagedata r:id="rId509" o:title=""/>
          </v:shape>
          <o:OLEObject Type="Embed" ProgID="Equation.3" ShapeID="_x0000_i1296" DrawAspect="Content" ObjectID="_1550061564" r:id="rId510"/>
        </w:object>
      </w:r>
      <w:r w:rsidRPr="00481206">
        <w:rPr>
          <w:rFonts w:ascii="宋体" w:hAnsi="宋体" w:hint="eastAsia"/>
          <w:bCs/>
          <w:sz w:val="24"/>
        </w:rPr>
        <w:t>的方差，</w:t>
      </w:r>
      <w:r w:rsidRPr="00481206">
        <w:rPr>
          <w:rFonts w:ascii="宋体" w:hAnsi="宋体"/>
          <w:position w:val="-12"/>
          <w:sz w:val="24"/>
        </w:rPr>
        <w:object w:dxaOrig="440" w:dyaOrig="360">
          <v:shape id="_x0000_i1297" type="#_x0000_t75" style="width:21.75pt;height:18pt" o:ole="">
            <v:imagedata r:id="rId511" o:title=""/>
          </v:shape>
          <o:OLEObject Type="Embed" ProgID="Equation.3" ShapeID="_x0000_i1297" DrawAspect="Content" ObjectID="_1550061565" r:id="rId512"/>
        </w:object>
      </w:r>
      <w:r w:rsidRPr="00481206">
        <w:rPr>
          <w:rFonts w:ascii="宋体" w:hAnsi="宋体" w:hint="eastAsia"/>
          <w:sz w:val="24"/>
        </w:rPr>
        <w:t>为</w:t>
      </w:r>
      <w:r w:rsidRPr="00481206">
        <w:rPr>
          <w:rFonts w:ascii="宋体" w:hAnsi="宋体"/>
          <w:bCs/>
          <w:position w:val="-4"/>
          <w:sz w:val="24"/>
        </w:rPr>
        <w:object w:dxaOrig="420" w:dyaOrig="260">
          <v:shape id="_x0000_i1298" type="#_x0000_t75" style="width:21pt;height:12.75pt" o:ole="">
            <v:imagedata r:id="rId507" o:title=""/>
          </v:shape>
          <o:OLEObject Type="Embed" ProgID="Equation.3" ShapeID="_x0000_i1298" DrawAspect="Content" ObjectID="_1550061566" r:id="rId513"/>
        </w:object>
      </w:r>
      <w:r w:rsidRPr="00481206">
        <w:rPr>
          <w:rFonts w:ascii="宋体" w:hAnsi="宋体" w:hint="eastAsia"/>
          <w:bCs/>
          <w:sz w:val="24"/>
        </w:rPr>
        <w:t>与</w:t>
      </w:r>
      <w:r w:rsidRPr="00481206">
        <w:rPr>
          <w:rFonts w:ascii="宋体" w:hAnsi="宋体"/>
          <w:bCs/>
          <w:position w:val="-6"/>
          <w:sz w:val="24"/>
        </w:rPr>
        <w:object w:dxaOrig="400" w:dyaOrig="279">
          <v:shape id="_x0000_i1299" type="#_x0000_t75" style="width:20.25pt;height:14.25pt" o:ole="">
            <v:imagedata r:id="rId509" o:title=""/>
          </v:shape>
          <o:OLEObject Type="Embed" ProgID="Equation.3" ShapeID="_x0000_i1299" DrawAspect="Content" ObjectID="_1550061567" r:id="rId514"/>
        </w:object>
      </w:r>
      <w:r w:rsidRPr="00481206">
        <w:rPr>
          <w:rFonts w:ascii="宋体" w:hAnsi="宋体" w:hint="eastAsia"/>
          <w:bCs/>
          <w:sz w:val="24"/>
        </w:rPr>
        <w:t>的协方差，</w:t>
      </w:r>
      <w:r w:rsidRPr="00481206">
        <w:rPr>
          <w:rFonts w:ascii="宋体" w:hAnsi="宋体"/>
          <w:position w:val="-12"/>
          <w:sz w:val="24"/>
        </w:rPr>
        <w:object w:dxaOrig="440" w:dyaOrig="360">
          <v:shape id="_x0000_i1300" type="#_x0000_t75" style="width:21.75pt;height:18pt" o:ole="">
            <v:imagedata r:id="rId515" o:title=""/>
          </v:shape>
          <o:OLEObject Type="Embed" ProgID="Equation.3" ShapeID="_x0000_i1300" DrawAspect="Content" ObjectID="_1550061568" r:id="rId516"/>
        </w:object>
      </w:r>
      <w:r w:rsidRPr="00481206">
        <w:rPr>
          <w:rFonts w:ascii="宋体" w:hAnsi="宋体" w:hint="eastAsia"/>
          <w:sz w:val="24"/>
        </w:rPr>
        <w:t>为</w:t>
      </w:r>
      <w:r w:rsidRPr="00481206">
        <w:rPr>
          <w:rFonts w:ascii="宋体" w:hAnsi="宋体"/>
          <w:bCs/>
          <w:position w:val="-4"/>
          <w:sz w:val="24"/>
        </w:rPr>
        <w:object w:dxaOrig="420" w:dyaOrig="260">
          <v:shape id="_x0000_i1301" type="#_x0000_t75" style="width:21pt;height:12.75pt" o:ole="">
            <v:imagedata r:id="rId507" o:title=""/>
          </v:shape>
          <o:OLEObject Type="Embed" ProgID="Equation.3" ShapeID="_x0000_i1301" DrawAspect="Content" ObjectID="_1550061569" r:id="rId517"/>
        </w:object>
      </w:r>
      <w:r w:rsidRPr="00481206">
        <w:rPr>
          <w:rFonts w:ascii="宋体" w:hAnsi="宋体" w:hint="eastAsia"/>
          <w:bCs/>
          <w:sz w:val="24"/>
        </w:rPr>
        <w:t>与</w:t>
      </w:r>
      <w:r w:rsidRPr="00481206">
        <w:rPr>
          <w:rFonts w:ascii="宋体" w:hAnsi="宋体"/>
          <w:bCs/>
          <w:position w:val="-6"/>
          <w:sz w:val="24"/>
        </w:rPr>
        <w:object w:dxaOrig="400" w:dyaOrig="279">
          <v:shape id="_x0000_i1302" type="#_x0000_t75" style="width:20.25pt;height:14.25pt" o:ole="">
            <v:imagedata r:id="rId509" o:title=""/>
          </v:shape>
          <o:OLEObject Type="Embed" ProgID="Equation.3" ShapeID="_x0000_i1302" DrawAspect="Content" ObjectID="_1550061570" r:id="rId518"/>
        </w:object>
      </w:r>
      <w:r w:rsidRPr="00481206">
        <w:rPr>
          <w:rFonts w:ascii="宋体" w:hAnsi="宋体" w:hint="eastAsia"/>
          <w:bCs/>
          <w:sz w:val="24"/>
        </w:rPr>
        <w:t>之间的相关系数。</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bCs/>
          <w:sz w:val="24"/>
        </w:rPr>
        <w:t>在最小方差套期保值比率方法下，最小方差套期保值比率必须使得</w:t>
      </w:r>
      <w:r w:rsidRPr="00481206">
        <w:rPr>
          <w:rFonts w:ascii="宋体" w:hAnsi="宋体"/>
          <w:position w:val="-10"/>
          <w:sz w:val="24"/>
        </w:rPr>
        <w:object w:dxaOrig="340" w:dyaOrig="360">
          <v:shape id="_x0000_i1303" type="#_x0000_t75" style="width:17.25pt;height:18pt" o:ole="">
            <v:imagedata r:id="rId519" o:title=""/>
          </v:shape>
          <o:OLEObject Type="Embed" ProgID="Equation.3" ShapeID="_x0000_i1303" DrawAspect="Content" ObjectID="_1550061571" r:id="rId520"/>
        </w:object>
      </w:r>
      <w:r w:rsidRPr="00481206">
        <w:rPr>
          <w:rFonts w:ascii="宋体" w:hAnsi="宋体" w:hint="eastAsia"/>
          <w:sz w:val="24"/>
        </w:rPr>
        <w:t>最小化，因此</w:t>
      </w:r>
      <w:r w:rsidRPr="00481206">
        <w:rPr>
          <w:rFonts w:ascii="宋体" w:hAnsi="宋体"/>
          <w:position w:val="-10"/>
          <w:sz w:val="24"/>
        </w:rPr>
        <w:object w:dxaOrig="340" w:dyaOrig="360">
          <v:shape id="_x0000_i1304" type="#_x0000_t75" style="width:17.25pt;height:18pt" o:ole="">
            <v:imagedata r:id="rId521" o:title=""/>
          </v:shape>
          <o:OLEObject Type="Embed" ProgID="Equation.3" ShapeID="_x0000_i1304" DrawAspect="Content" ObjectID="_1550061572" r:id="rId522"/>
        </w:object>
      </w:r>
      <w:r w:rsidRPr="00481206">
        <w:rPr>
          <w:rFonts w:ascii="宋体" w:hAnsi="宋体" w:hint="eastAsia"/>
          <w:sz w:val="24"/>
        </w:rPr>
        <w:t>对n的一阶导数等于零，即：</w:t>
      </w:r>
    </w:p>
    <w:p w:rsidR="00481206" w:rsidRPr="00481206" w:rsidRDefault="00481206" w:rsidP="00481206">
      <w:pPr>
        <w:spacing w:line="360" w:lineRule="auto"/>
        <w:ind w:firstLineChars="200" w:firstLine="480"/>
        <w:rPr>
          <w:rFonts w:ascii="宋体" w:hAnsi="宋体"/>
          <w:sz w:val="24"/>
        </w:rPr>
      </w:pPr>
      <w:r w:rsidRPr="00481206">
        <w:rPr>
          <w:rFonts w:ascii="宋体" w:hAnsi="宋体"/>
          <w:position w:val="-24"/>
          <w:sz w:val="24"/>
        </w:rPr>
        <w:object w:dxaOrig="2700" w:dyaOrig="660">
          <v:shape id="_x0000_i1305" type="#_x0000_t75" style="width:135pt;height:33pt" o:ole="">
            <v:imagedata r:id="rId523" o:title=""/>
          </v:shape>
          <o:OLEObject Type="Embed" ProgID="Equation.3" ShapeID="_x0000_i1305" DrawAspect="Content" ObjectID="_1550061573" r:id="rId524"/>
        </w:objec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令上式等于零，得：</w:t>
      </w:r>
    </w:p>
    <w:p w:rsidR="00481206" w:rsidRPr="00481206" w:rsidRDefault="00481206" w:rsidP="00481206">
      <w:pPr>
        <w:spacing w:line="360" w:lineRule="auto"/>
        <w:ind w:firstLineChars="200" w:firstLine="480"/>
        <w:rPr>
          <w:rFonts w:ascii="宋体" w:hAnsi="宋体"/>
          <w:sz w:val="24"/>
        </w:rPr>
      </w:pPr>
      <w:r w:rsidRPr="00481206">
        <w:rPr>
          <w:rFonts w:ascii="宋体" w:hAnsi="宋体"/>
          <w:position w:val="-30"/>
          <w:sz w:val="24"/>
        </w:rPr>
        <w:object w:dxaOrig="1260" w:dyaOrig="700">
          <v:shape id="_x0000_i1306" type="#_x0000_t75" style="width:63pt;height:35.25pt" o:ole="">
            <v:imagedata r:id="rId525" o:title=""/>
          </v:shape>
          <o:OLEObject Type="Embed" ProgID="Equation.3" ShapeID="_x0000_i1306" DrawAspect="Content" ObjectID="_1550061574" r:id="rId526"/>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sz w:val="24"/>
        </w:rPr>
        <w:t>也就是说，最小方差套期保值比率等于</w:t>
      </w:r>
      <w:r w:rsidRPr="00481206">
        <w:rPr>
          <w:rFonts w:ascii="宋体" w:hAnsi="宋体"/>
          <w:bCs/>
          <w:position w:val="-4"/>
          <w:sz w:val="24"/>
        </w:rPr>
        <w:object w:dxaOrig="420" w:dyaOrig="260">
          <v:shape id="_x0000_i1307" type="#_x0000_t75" style="width:21pt;height:12.75pt" o:ole="">
            <v:imagedata r:id="rId507" o:title=""/>
          </v:shape>
          <o:OLEObject Type="Embed" ProgID="Equation.3" ShapeID="_x0000_i1307" DrawAspect="Content" ObjectID="_1550061575" r:id="rId527"/>
        </w:object>
      </w:r>
      <w:r w:rsidRPr="00481206">
        <w:rPr>
          <w:rFonts w:ascii="宋体" w:hAnsi="宋体" w:hint="eastAsia"/>
          <w:bCs/>
          <w:sz w:val="24"/>
        </w:rPr>
        <w:t>与</w:t>
      </w:r>
      <w:r w:rsidRPr="00481206">
        <w:rPr>
          <w:rFonts w:ascii="宋体" w:hAnsi="宋体"/>
          <w:bCs/>
          <w:position w:val="-6"/>
          <w:sz w:val="24"/>
        </w:rPr>
        <w:object w:dxaOrig="400" w:dyaOrig="279">
          <v:shape id="_x0000_i1308" type="#_x0000_t75" style="width:20.25pt;height:14.25pt" o:ole="">
            <v:imagedata r:id="rId509" o:title=""/>
          </v:shape>
          <o:OLEObject Type="Embed" ProgID="Equation.3" ShapeID="_x0000_i1308" DrawAspect="Content" ObjectID="_1550061576" r:id="rId528"/>
        </w:object>
      </w:r>
      <w:r w:rsidRPr="00481206">
        <w:rPr>
          <w:rFonts w:ascii="宋体" w:hAnsi="宋体" w:hint="eastAsia"/>
          <w:bCs/>
          <w:sz w:val="24"/>
        </w:rPr>
        <w:t>之间的相关系数乘以</w:t>
      </w:r>
      <w:r w:rsidRPr="00481206">
        <w:rPr>
          <w:rFonts w:ascii="宋体" w:hAnsi="宋体"/>
          <w:bCs/>
          <w:position w:val="-4"/>
          <w:sz w:val="24"/>
        </w:rPr>
        <w:object w:dxaOrig="420" w:dyaOrig="260">
          <v:shape id="_x0000_i1309" type="#_x0000_t75" style="width:21pt;height:12.75pt" o:ole="">
            <v:imagedata r:id="rId507" o:title=""/>
          </v:shape>
          <o:OLEObject Type="Embed" ProgID="Equation.3" ShapeID="_x0000_i1309" DrawAspect="Content" ObjectID="_1550061577" r:id="rId529"/>
        </w:object>
      </w:r>
      <w:r w:rsidRPr="00481206">
        <w:rPr>
          <w:rFonts w:ascii="宋体" w:hAnsi="宋体" w:hint="eastAsia"/>
          <w:bCs/>
          <w:sz w:val="24"/>
        </w:rPr>
        <w:t>的标准差和</w:t>
      </w:r>
      <w:r w:rsidRPr="00481206">
        <w:rPr>
          <w:rFonts w:ascii="宋体" w:hAnsi="宋体"/>
          <w:bCs/>
          <w:position w:val="-6"/>
          <w:sz w:val="24"/>
        </w:rPr>
        <w:object w:dxaOrig="400" w:dyaOrig="279">
          <v:shape id="_x0000_i1310" type="#_x0000_t75" style="width:20.25pt;height:14.25pt" o:ole="">
            <v:imagedata r:id="rId509" o:title=""/>
          </v:shape>
          <o:OLEObject Type="Embed" ProgID="Equation.3" ShapeID="_x0000_i1310" DrawAspect="Content" ObjectID="_1550061578" r:id="rId530"/>
        </w:object>
      </w:r>
      <w:r w:rsidRPr="00481206">
        <w:rPr>
          <w:rFonts w:ascii="宋体" w:hAnsi="宋体" w:hint="eastAsia"/>
          <w:bCs/>
          <w:sz w:val="24"/>
        </w:rPr>
        <w:t>标准差的比率。从上式可以看出，当</w:t>
      </w:r>
      <w:r w:rsidRPr="00481206">
        <w:rPr>
          <w:rFonts w:ascii="宋体" w:hAnsi="宋体"/>
          <w:bCs/>
          <w:position w:val="-4"/>
          <w:sz w:val="24"/>
        </w:rPr>
        <w:object w:dxaOrig="420" w:dyaOrig="260">
          <v:shape id="_x0000_i1311" type="#_x0000_t75" style="width:21pt;height:12.75pt" o:ole="">
            <v:imagedata r:id="rId507" o:title=""/>
          </v:shape>
          <o:OLEObject Type="Embed" ProgID="Equation.3" ShapeID="_x0000_i1311" DrawAspect="Content" ObjectID="_1550061579" r:id="rId531"/>
        </w:object>
      </w:r>
      <w:r w:rsidRPr="00481206">
        <w:rPr>
          <w:rFonts w:ascii="宋体" w:hAnsi="宋体" w:hint="eastAsia"/>
          <w:bCs/>
          <w:sz w:val="24"/>
        </w:rPr>
        <w:t>与</w:t>
      </w:r>
      <w:r w:rsidRPr="00481206">
        <w:rPr>
          <w:rFonts w:ascii="宋体" w:hAnsi="宋体"/>
          <w:bCs/>
          <w:position w:val="-6"/>
          <w:sz w:val="24"/>
        </w:rPr>
        <w:object w:dxaOrig="400" w:dyaOrig="279">
          <v:shape id="_x0000_i1312" type="#_x0000_t75" style="width:20.25pt;height:14.25pt" o:ole="">
            <v:imagedata r:id="rId509" o:title=""/>
          </v:shape>
          <o:OLEObject Type="Embed" ProgID="Equation.3" ShapeID="_x0000_i1312" DrawAspect="Content" ObjectID="_1550061580" r:id="rId532"/>
        </w:object>
      </w:r>
      <w:r w:rsidRPr="00481206">
        <w:rPr>
          <w:rFonts w:ascii="宋体" w:hAnsi="宋体" w:hint="eastAsia"/>
          <w:bCs/>
          <w:sz w:val="24"/>
        </w:rPr>
        <w:t>之间的相关系数等于1，且</w:t>
      </w:r>
      <w:r w:rsidRPr="00481206">
        <w:rPr>
          <w:rFonts w:ascii="宋体" w:hAnsi="宋体"/>
          <w:bCs/>
          <w:position w:val="-4"/>
          <w:sz w:val="24"/>
        </w:rPr>
        <w:object w:dxaOrig="420" w:dyaOrig="260">
          <v:shape id="_x0000_i1313" type="#_x0000_t75" style="width:21pt;height:12.75pt" o:ole="">
            <v:imagedata r:id="rId507" o:title=""/>
          </v:shape>
          <o:OLEObject Type="Embed" ProgID="Equation.3" ShapeID="_x0000_i1313" DrawAspect="Content" ObjectID="_1550061581" r:id="rId533"/>
        </w:object>
      </w:r>
      <w:r w:rsidRPr="00481206">
        <w:rPr>
          <w:rFonts w:ascii="宋体" w:hAnsi="宋体" w:hint="eastAsia"/>
          <w:bCs/>
          <w:sz w:val="24"/>
        </w:rPr>
        <w:t>的标准差等于</w:t>
      </w:r>
      <w:r w:rsidRPr="00481206">
        <w:rPr>
          <w:rFonts w:ascii="宋体" w:hAnsi="宋体"/>
          <w:bCs/>
          <w:position w:val="-6"/>
          <w:sz w:val="24"/>
        </w:rPr>
        <w:object w:dxaOrig="400" w:dyaOrig="279">
          <v:shape id="_x0000_i1314" type="#_x0000_t75" style="width:20.25pt;height:14.25pt" o:ole="">
            <v:imagedata r:id="rId509" o:title=""/>
          </v:shape>
          <o:OLEObject Type="Embed" ProgID="Equation.3" ShapeID="_x0000_i1314" DrawAspect="Content" ObjectID="_1550061582" r:id="rId534"/>
        </w:object>
      </w:r>
      <w:r w:rsidRPr="00481206">
        <w:rPr>
          <w:rFonts w:ascii="宋体" w:hAnsi="宋体" w:hint="eastAsia"/>
          <w:bCs/>
          <w:sz w:val="24"/>
        </w:rPr>
        <w:t>的标准差时，最小方差套期保值比率等于1。当保值的资产与期货的标的资产一样，且期货到期时间与保值期限到期时间一样时，最小方差套期保值比率等于1。</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例题：假设投资者A手中持有某种现货金融工具1000000元，目前现货价格为100元，拟运用某种标的资产与该资产相似的期货合约进行3个月期的套期保值。如果该现货资产价格季度变化的标准差为0.65元，该期货价格季度变化的标准差为0.81元，两个价格变化的相关系数为0.8，每份期货合约规模为100000元，期货价格为50元，问三个月的最小方差套期保值比率是多少？</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position w:val="-30"/>
          <w:sz w:val="24"/>
        </w:rPr>
        <w:object w:dxaOrig="3120" w:dyaOrig="700">
          <v:shape id="_x0000_i1315" type="#_x0000_t75" style="width:156pt;height:35.25pt" o:ole="">
            <v:imagedata r:id="rId535" o:title=""/>
          </v:shape>
          <o:OLEObject Type="Embed" ProgID="Equation.3" ShapeID="_x0000_i1315" DrawAspect="Content" ObjectID="_1550061583" r:id="rId536"/>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第四步：套期保值策略的制定与实施</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一般是多头套期保值和空头套期保值，投资者究竟是选择多头套期保值还是空头套期保值，应根据自己在现货市场上所持有的部位而决定。根据金融期货套期保值的原理，投资者应在期货市场上建立与现货市场相反的部位。若投资者在现货市场中持有空头部位，则他应该选择多头套期保值；相反，若投资者在现货市场上持有多头部位，则他应该选择空头套期保值。</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第五步：套期保值过程的监控与评价</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套期保值过程的监控：在现实套期保值中，情况是在不断变化的。一旦情况发生了变化，则原来合理的套期保值策略也许会变得不合理。于是，投资者必须对原有的套期</w:t>
      </w:r>
      <w:r w:rsidRPr="00481206">
        <w:rPr>
          <w:rFonts w:ascii="宋体" w:hAnsi="宋体" w:hint="eastAsia"/>
          <w:bCs/>
          <w:sz w:val="24"/>
        </w:rPr>
        <w:lastRenderedPageBreak/>
        <w:t>保值部位作出必要的调整，以适应新的、变化后的情况。只有这样，投资者采用可能达到原定的套期保值目标。</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套期保值的评价：主要包括套期保值效率的计算和套期保值策略的评估。</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两个套期保值的例子（对教材中的两个货币期货套期保值和股指期货套期保值进行说明）</w:t>
      </w:r>
    </w:p>
    <w:p w:rsidR="00481206" w:rsidRPr="00481206" w:rsidRDefault="00481206" w:rsidP="00481206">
      <w:pPr>
        <w:spacing w:line="360" w:lineRule="auto"/>
        <w:ind w:firstLineChars="200" w:firstLine="480"/>
        <w:outlineLvl w:val="1"/>
        <w:rPr>
          <w:rFonts w:ascii="宋体" w:hAnsi="宋体" w:cs="宋体"/>
          <w:sz w:val="24"/>
        </w:rPr>
      </w:pPr>
      <w:bookmarkStart w:id="628" w:name="_Toc444350317"/>
      <w:bookmarkStart w:id="629" w:name="_Toc474271792"/>
      <w:r w:rsidRPr="00481206">
        <w:rPr>
          <w:rFonts w:ascii="宋体" w:hAnsi="宋体" w:cs="宋体" w:hint="eastAsia"/>
          <w:bCs/>
          <w:sz w:val="24"/>
        </w:rPr>
        <w:t>7.5.5教学方法</w:t>
      </w:r>
      <w:bookmarkEnd w:id="617"/>
      <w:bookmarkEnd w:id="628"/>
      <w:bookmarkEnd w:id="629"/>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630" w:name="_Toc430423829"/>
      <w:bookmarkStart w:id="631" w:name="_Toc444350318"/>
      <w:bookmarkStart w:id="632" w:name="_Toc474271793"/>
      <w:r w:rsidRPr="00481206">
        <w:rPr>
          <w:rFonts w:ascii="宋体" w:hAnsi="宋体" w:cs="宋体" w:hint="eastAsia"/>
          <w:sz w:val="24"/>
        </w:rPr>
        <w:t>课堂讲授；设问；案例分析。</w:t>
      </w:r>
      <w:bookmarkEnd w:id="630"/>
      <w:bookmarkEnd w:id="631"/>
      <w:bookmarkEnd w:id="632"/>
    </w:p>
    <w:p w:rsidR="00481206" w:rsidRPr="00481206" w:rsidRDefault="00481206" w:rsidP="00481206">
      <w:pPr>
        <w:spacing w:line="360" w:lineRule="auto"/>
        <w:ind w:firstLine="480"/>
        <w:outlineLvl w:val="1"/>
        <w:rPr>
          <w:rFonts w:ascii="宋体" w:hAnsi="宋体" w:cs="宋体"/>
          <w:sz w:val="24"/>
        </w:rPr>
      </w:pPr>
      <w:bookmarkStart w:id="633" w:name="_Toc430423830"/>
      <w:bookmarkStart w:id="634" w:name="_Toc444350319"/>
      <w:bookmarkStart w:id="635" w:name="_Toc474271794"/>
      <w:r w:rsidRPr="00481206">
        <w:rPr>
          <w:rFonts w:ascii="宋体" w:hAnsi="宋体" w:cs="宋体" w:hint="eastAsia"/>
          <w:bCs/>
          <w:sz w:val="24"/>
        </w:rPr>
        <w:t>7.5.6单元作业安排及课后反思</w:t>
      </w:r>
      <w:bookmarkEnd w:id="633"/>
      <w:bookmarkEnd w:id="634"/>
      <w:bookmarkEnd w:id="635"/>
      <w:r w:rsidRPr="00481206">
        <w:rPr>
          <w:rFonts w:ascii="宋体" w:hAnsi="宋体" w:cs="宋体" w:hint="eastAsia"/>
          <w:sz w:val="24"/>
        </w:rPr>
        <w:tab/>
      </w:r>
    </w:p>
    <w:p w:rsidR="00481206" w:rsidRPr="00481206" w:rsidRDefault="00481206" w:rsidP="00481206">
      <w:pPr>
        <w:spacing w:line="360" w:lineRule="auto"/>
        <w:ind w:firstLine="480"/>
        <w:outlineLvl w:val="1"/>
        <w:rPr>
          <w:rFonts w:ascii="宋体" w:hAnsi="宋体" w:cs="宋体"/>
          <w:sz w:val="24"/>
        </w:rPr>
      </w:pPr>
      <w:bookmarkStart w:id="636" w:name="_Toc430423831"/>
      <w:bookmarkStart w:id="637" w:name="_Toc444350320"/>
      <w:bookmarkStart w:id="638" w:name="_Toc474271795"/>
      <w:r w:rsidRPr="00481206">
        <w:rPr>
          <w:rFonts w:ascii="宋体" w:hAnsi="宋体" w:cs="宋体" w:hint="eastAsia"/>
          <w:sz w:val="24"/>
        </w:rPr>
        <w:t>第7讲：</w:t>
      </w:r>
      <w:bookmarkEnd w:id="636"/>
      <w:bookmarkEnd w:id="637"/>
      <w:bookmarkEnd w:id="638"/>
    </w:p>
    <w:p w:rsidR="00481206" w:rsidRPr="00481206" w:rsidRDefault="00481206" w:rsidP="00481206">
      <w:pPr>
        <w:widowControl/>
        <w:spacing w:line="360" w:lineRule="auto"/>
        <w:ind w:firstLineChars="200" w:firstLine="480"/>
        <w:jc w:val="left"/>
        <w:rPr>
          <w:rFonts w:ascii="宋体" w:hAnsi="宋体" w:cs="宋体"/>
          <w:kern w:val="0"/>
          <w:sz w:val="24"/>
        </w:rPr>
      </w:pPr>
      <w:r w:rsidRPr="00481206">
        <w:rPr>
          <w:rFonts w:ascii="宋体" w:hAnsi="宋体"/>
          <w:kern w:val="0"/>
          <w:sz w:val="24"/>
        </w:rPr>
        <w:t>1</w:t>
      </w:r>
      <w:r w:rsidRPr="00481206">
        <w:rPr>
          <w:rFonts w:ascii="宋体" w:hAnsi="宋体" w:cs="宋体" w:hint="eastAsia"/>
          <w:kern w:val="0"/>
          <w:sz w:val="24"/>
        </w:rPr>
        <w:t>）举例说明多头套期保值策略</w:t>
      </w:r>
    </w:p>
    <w:p w:rsidR="00481206" w:rsidRPr="00481206" w:rsidRDefault="00481206" w:rsidP="00481206">
      <w:pPr>
        <w:widowControl/>
        <w:spacing w:line="360" w:lineRule="auto"/>
        <w:ind w:firstLineChars="200" w:firstLine="480"/>
        <w:jc w:val="left"/>
        <w:rPr>
          <w:rFonts w:ascii="宋体" w:hAnsi="宋体" w:cs="宋体"/>
          <w:kern w:val="0"/>
          <w:sz w:val="24"/>
        </w:rPr>
      </w:pPr>
      <w:r w:rsidRPr="00481206">
        <w:rPr>
          <w:rFonts w:ascii="宋体" w:hAnsi="宋体"/>
          <w:kern w:val="0"/>
          <w:sz w:val="24"/>
        </w:rPr>
        <w:t>2</w:t>
      </w:r>
      <w:r w:rsidRPr="00481206">
        <w:rPr>
          <w:rFonts w:ascii="宋体" w:hAnsi="宋体" w:cs="宋体" w:hint="eastAsia"/>
          <w:kern w:val="0"/>
          <w:sz w:val="24"/>
        </w:rPr>
        <w:t>）什么是基差？它有哪些作用？</w:t>
      </w:r>
    </w:p>
    <w:p w:rsidR="00481206" w:rsidRPr="00481206" w:rsidRDefault="00481206" w:rsidP="00481206">
      <w:pPr>
        <w:widowControl/>
        <w:spacing w:line="360" w:lineRule="auto"/>
        <w:ind w:firstLineChars="200" w:firstLine="480"/>
        <w:jc w:val="left"/>
        <w:rPr>
          <w:rFonts w:ascii="宋体" w:hAnsi="宋体" w:cs="宋体"/>
          <w:kern w:val="0"/>
          <w:sz w:val="24"/>
        </w:rPr>
      </w:pPr>
      <w:r w:rsidRPr="00481206">
        <w:rPr>
          <w:rFonts w:ascii="宋体" w:hAnsi="宋体"/>
          <w:kern w:val="0"/>
          <w:sz w:val="24"/>
        </w:rPr>
        <w:t>3</w:t>
      </w:r>
      <w:r w:rsidRPr="00481206">
        <w:rPr>
          <w:rFonts w:ascii="宋体" w:hAnsi="宋体" w:cs="宋体" w:hint="eastAsia"/>
          <w:kern w:val="0"/>
          <w:sz w:val="24"/>
        </w:rPr>
        <w:t>）在正向市场上，基差变化对套期保值的影响有哪些？</w:t>
      </w:r>
    </w:p>
    <w:p w:rsidR="00481206" w:rsidRPr="00481206" w:rsidRDefault="00481206" w:rsidP="00481206">
      <w:pPr>
        <w:widowControl/>
        <w:spacing w:line="360" w:lineRule="auto"/>
        <w:ind w:firstLineChars="200" w:firstLine="480"/>
        <w:jc w:val="left"/>
        <w:rPr>
          <w:rFonts w:ascii="宋体" w:hAnsi="宋体" w:cs="宋体"/>
          <w:kern w:val="0"/>
          <w:sz w:val="24"/>
        </w:rPr>
      </w:pPr>
      <w:r w:rsidRPr="00481206">
        <w:rPr>
          <w:rFonts w:ascii="宋体" w:hAnsi="宋体"/>
          <w:kern w:val="0"/>
          <w:sz w:val="24"/>
        </w:rPr>
        <w:t>4</w:t>
      </w:r>
      <w:r w:rsidRPr="00481206">
        <w:rPr>
          <w:rFonts w:ascii="宋体" w:hAnsi="宋体" w:cs="宋体" w:hint="eastAsia"/>
          <w:kern w:val="0"/>
          <w:sz w:val="24"/>
        </w:rPr>
        <w:t>）举例说明空头套期保值交易策略</w:t>
      </w:r>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639" w:name="_Toc430423837"/>
      <w:bookmarkStart w:id="640" w:name="_Toc444350321"/>
      <w:bookmarkStart w:id="641" w:name="_Toc474271796"/>
      <w:r w:rsidRPr="00481206">
        <w:rPr>
          <w:rFonts w:ascii="宋体" w:hAnsi="宋体" w:cs="宋体" w:hint="eastAsia"/>
          <w:sz w:val="24"/>
        </w:rPr>
        <w:t>7.5.7课前准</w:t>
      </w:r>
      <w:r w:rsidRPr="00481206">
        <w:rPr>
          <w:rFonts w:ascii="宋体" w:hAnsi="宋体" w:cs="宋体" w:hint="eastAsia"/>
          <w:bCs/>
          <w:sz w:val="24"/>
        </w:rPr>
        <w:t>备情况及其他相关特殊要求</w:t>
      </w:r>
      <w:bookmarkEnd w:id="639"/>
      <w:bookmarkEnd w:id="640"/>
      <w:bookmarkEnd w:id="641"/>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642" w:name="_Toc430423838"/>
      <w:bookmarkStart w:id="643" w:name="_Toc444350322"/>
      <w:bookmarkStart w:id="644" w:name="_Toc474271797"/>
      <w:r w:rsidRPr="00481206">
        <w:rPr>
          <w:rFonts w:ascii="宋体" w:hAnsi="宋体" w:cs="宋体" w:hint="eastAsia"/>
          <w:bCs/>
          <w:sz w:val="24"/>
        </w:rPr>
        <w:t>教师：</w:t>
      </w:r>
      <w:r w:rsidRPr="00481206">
        <w:rPr>
          <w:rFonts w:ascii="宋体" w:hAnsi="宋体" w:cs="宋体" w:hint="eastAsia"/>
          <w:sz w:val="24"/>
        </w:rPr>
        <w:t>熟悉课程教学要点；梳理实施方案，明确执行步骤；准备经验素材。</w:t>
      </w:r>
      <w:bookmarkEnd w:id="642"/>
      <w:bookmarkEnd w:id="643"/>
      <w:bookmarkEnd w:id="644"/>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645" w:name="_Toc430423839"/>
      <w:bookmarkStart w:id="646" w:name="_Toc444350323"/>
      <w:bookmarkStart w:id="647" w:name="_Toc474271798"/>
      <w:r w:rsidRPr="00481206">
        <w:rPr>
          <w:rFonts w:ascii="宋体" w:hAnsi="宋体" w:cs="宋体" w:hint="eastAsia"/>
          <w:bCs/>
          <w:sz w:val="24"/>
        </w:rPr>
        <w:t>学生：</w:t>
      </w:r>
      <w:r w:rsidRPr="00481206">
        <w:rPr>
          <w:rFonts w:ascii="宋体" w:hAnsi="宋体" w:cs="宋体" w:hint="eastAsia"/>
          <w:sz w:val="24"/>
        </w:rPr>
        <w:t>预习套期保值的方法，收集相关案例。</w:t>
      </w:r>
      <w:bookmarkEnd w:id="645"/>
      <w:bookmarkEnd w:id="646"/>
      <w:bookmarkEnd w:id="647"/>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bCs/>
          <w:sz w:val="24"/>
        </w:rPr>
        <w:t xml:space="preserve">    </w:t>
      </w:r>
      <w:bookmarkStart w:id="648" w:name="_Toc430423840"/>
      <w:bookmarkStart w:id="649" w:name="_Toc444350324"/>
      <w:bookmarkStart w:id="650" w:name="_Toc474271799"/>
      <w:r w:rsidRPr="00481206">
        <w:rPr>
          <w:rFonts w:ascii="宋体" w:hAnsi="宋体" w:cs="宋体" w:hint="eastAsia"/>
          <w:bCs/>
          <w:sz w:val="24"/>
        </w:rPr>
        <w:t>7.5.8教学单元的参考资料</w:t>
      </w:r>
      <w:bookmarkEnd w:id="648"/>
      <w:bookmarkEnd w:id="649"/>
      <w:bookmarkEnd w:id="650"/>
    </w:p>
    <w:p w:rsidR="00481206" w:rsidRPr="00481206" w:rsidRDefault="00481206" w:rsidP="00481206">
      <w:pPr>
        <w:spacing w:line="360" w:lineRule="auto"/>
        <w:ind w:firstLineChars="200" w:firstLine="480"/>
        <w:outlineLvl w:val="1"/>
        <w:rPr>
          <w:rFonts w:ascii="宋体" w:hAnsi="宋体" w:cs="宋体"/>
          <w:sz w:val="24"/>
        </w:rPr>
      </w:pPr>
      <w:bookmarkStart w:id="651" w:name="_Toc444350325"/>
      <w:bookmarkStart w:id="652" w:name="_Toc474271800"/>
      <w:r w:rsidRPr="00481206">
        <w:rPr>
          <w:rFonts w:ascii="宋体" w:hAnsi="宋体" w:hint="eastAsia"/>
          <w:sz w:val="24"/>
        </w:rPr>
        <w:t>高鸿业.西方及经济学学习与教学手册（第二版）[M],北京：中国人民大学出版社，  2007.</w:t>
      </w:r>
      <w:bookmarkEnd w:id="651"/>
      <w:bookmarkEnd w:id="652"/>
    </w:p>
    <w:p w:rsidR="00481206" w:rsidRPr="00481206" w:rsidRDefault="00481206" w:rsidP="00481206">
      <w:pPr>
        <w:spacing w:line="360" w:lineRule="auto"/>
        <w:ind w:firstLineChars="200" w:firstLine="480"/>
        <w:outlineLvl w:val="1"/>
        <w:rPr>
          <w:rFonts w:ascii="宋体" w:hAnsi="宋体" w:cs="宋体"/>
          <w:bCs/>
          <w:sz w:val="24"/>
        </w:rPr>
      </w:pPr>
      <w:bookmarkStart w:id="653" w:name="_Toc444350326"/>
      <w:bookmarkStart w:id="654" w:name="_Toc474271801"/>
      <w:r w:rsidRPr="00481206">
        <w:rPr>
          <w:rFonts w:ascii="宋体" w:hAnsi="宋体" w:cs="宋体" w:hint="eastAsia"/>
          <w:bCs/>
          <w:sz w:val="24"/>
        </w:rPr>
        <w:t>任映国.国际投资学</w:t>
      </w:r>
      <w:r w:rsidRPr="00481206">
        <w:rPr>
          <w:rFonts w:ascii="宋体" w:hAnsi="宋体" w:cs="宋体" w:hint="eastAsia"/>
          <w:sz w:val="24"/>
        </w:rPr>
        <w:t>[M]</w:t>
      </w:r>
      <w:r w:rsidRPr="00481206">
        <w:rPr>
          <w:rFonts w:ascii="宋体" w:hAnsi="宋体" w:cs="宋体" w:hint="eastAsia"/>
          <w:bCs/>
          <w:sz w:val="24"/>
        </w:rPr>
        <w:t>，北京：中国金融出版社出版社，2001.</w:t>
      </w:r>
      <w:bookmarkEnd w:id="653"/>
      <w:bookmarkEnd w:id="654"/>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陈信华.金融衍生工具[M],上海：上海财经大学出版社，2009.</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叶永刚.衍生金融工具[M],中国金融出版社,2004.</w:t>
      </w:r>
    </w:p>
    <w:p w:rsidR="00481206" w:rsidRPr="00481206" w:rsidRDefault="00481206" w:rsidP="00481206">
      <w:pPr>
        <w:spacing w:line="360" w:lineRule="auto"/>
        <w:ind w:firstLineChars="196" w:firstLine="470"/>
        <w:rPr>
          <w:rFonts w:ascii="宋体" w:hAnsi="宋体"/>
          <w:sz w:val="24"/>
        </w:rPr>
      </w:pPr>
      <w:r w:rsidRPr="00481206">
        <w:rPr>
          <w:rFonts w:ascii="宋体" w:hAnsi="宋体" w:hint="eastAsia"/>
          <w:sz w:val="24"/>
        </w:rPr>
        <w:t>赫尔著.期权、期货和其他衍生品[M],华夏出版社,2011.</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sz w:val="24"/>
        </w:rPr>
        <w:t>Hull,John C. Option,Futures and Other Derivative Securities(Fourth Edition) [M],2000.</w:t>
      </w:r>
    </w:p>
    <w:p w:rsidR="00481206" w:rsidRPr="00481206" w:rsidRDefault="00481206" w:rsidP="00481206">
      <w:pPr>
        <w:pStyle w:val="3"/>
        <w:spacing w:before="0" w:after="0" w:line="360" w:lineRule="auto"/>
        <w:rPr>
          <w:rFonts w:ascii="宋体" w:hAnsi="宋体" w:cs="宋体"/>
          <w:bCs w:val="0"/>
          <w:sz w:val="28"/>
        </w:rPr>
      </w:pPr>
      <w:bookmarkStart w:id="655" w:name="_Toc474271802"/>
      <w:r w:rsidRPr="00481206">
        <w:rPr>
          <w:rFonts w:ascii="宋体" w:hAnsi="宋体" w:cs="宋体" w:hint="eastAsia"/>
          <w:bCs w:val="0"/>
          <w:sz w:val="28"/>
        </w:rPr>
        <w:t>7.6第六单元（共1讲）</w:t>
      </w:r>
      <w:bookmarkEnd w:id="655"/>
    </w:p>
    <w:p w:rsidR="00481206" w:rsidRPr="00481206" w:rsidRDefault="00481206" w:rsidP="00481206">
      <w:pPr>
        <w:spacing w:line="360" w:lineRule="auto"/>
        <w:ind w:firstLineChars="200" w:firstLine="480"/>
        <w:outlineLvl w:val="1"/>
        <w:rPr>
          <w:rFonts w:ascii="宋体" w:hAnsi="宋体" w:cs="宋体"/>
          <w:bCs/>
          <w:sz w:val="24"/>
        </w:rPr>
      </w:pPr>
      <w:bookmarkStart w:id="656" w:name="_Toc430423850"/>
      <w:bookmarkStart w:id="657" w:name="_Toc444350328"/>
      <w:bookmarkStart w:id="658" w:name="_Toc474271803"/>
      <w:r w:rsidRPr="00481206">
        <w:rPr>
          <w:rFonts w:ascii="宋体" w:hAnsi="宋体" w:cs="宋体" w:hint="eastAsia"/>
          <w:bCs/>
          <w:sz w:val="24"/>
        </w:rPr>
        <w:t>7.6.1教学日期</w:t>
      </w:r>
      <w:bookmarkEnd w:id="656"/>
      <w:bookmarkEnd w:id="657"/>
      <w:bookmarkEnd w:id="658"/>
    </w:p>
    <w:p w:rsidR="00481206" w:rsidRPr="00481206" w:rsidRDefault="00280991" w:rsidP="00481206">
      <w:pPr>
        <w:spacing w:line="360" w:lineRule="auto"/>
        <w:ind w:firstLineChars="200" w:firstLine="480"/>
        <w:outlineLvl w:val="1"/>
        <w:rPr>
          <w:rFonts w:ascii="宋体" w:hAnsi="宋体" w:cs="宋体"/>
          <w:sz w:val="24"/>
        </w:rPr>
      </w:pPr>
      <w:bookmarkStart w:id="659" w:name="_Toc444350329"/>
      <w:bookmarkStart w:id="660" w:name="_Toc474271804"/>
      <w:bookmarkStart w:id="661" w:name="_Toc430423852"/>
      <w:r>
        <w:rPr>
          <w:rFonts w:ascii="宋体" w:hAnsi="宋体" w:cs="宋体" w:hint="eastAsia"/>
          <w:sz w:val="24"/>
        </w:rPr>
        <w:t>2017</w:t>
      </w:r>
      <w:r w:rsidR="00481206" w:rsidRPr="00481206">
        <w:rPr>
          <w:rFonts w:ascii="宋体" w:hAnsi="宋体" w:cs="宋体" w:hint="eastAsia"/>
          <w:sz w:val="24"/>
        </w:rPr>
        <w:t>年</w:t>
      </w:r>
      <w:r>
        <w:rPr>
          <w:rFonts w:ascii="宋体" w:hAnsi="宋体" w:cs="宋体" w:hint="eastAsia"/>
          <w:sz w:val="24"/>
        </w:rPr>
        <w:t>6</w:t>
      </w:r>
      <w:r w:rsidR="00481206" w:rsidRPr="00481206">
        <w:rPr>
          <w:rFonts w:ascii="宋体" w:hAnsi="宋体" w:cs="宋体" w:hint="eastAsia"/>
          <w:sz w:val="24"/>
        </w:rPr>
        <w:t>月</w:t>
      </w:r>
      <w:r>
        <w:rPr>
          <w:rFonts w:ascii="宋体" w:hAnsi="宋体" w:cs="宋体" w:hint="eastAsia"/>
          <w:sz w:val="24"/>
        </w:rPr>
        <w:t>8</w:t>
      </w:r>
      <w:r w:rsidR="00481206" w:rsidRPr="00481206">
        <w:rPr>
          <w:rFonts w:ascii="宋体" w:hAnsi="宋体" w:cs="宋体" w:hint="eastAsia"/>
          <w:sz w:val="24"/>
        </w:rPr>
        <w:t>日（</w:t>
      </w:r>
      <w:r>
        <w:rPr>
          <w:rFonts w:ascii="宋体" w:hAnsi="宋体" w:cs="宋体" w:hint="eastAsia"/>
          <w:sz w:val="24"/>
        </w:rPr>
        <w:t>周二上午3</w:t>
      </w:r>
      <w:r w:rsidRPr="00481206">
        <w:rPr>
          <w:rFonts w:ascii="宋体" w:hAnsi="宋体" w:cs="宋体" w:hint="eastAsia"/>
          <w:sz w:val="24"/>
        </w:rPr>
        <w:t>、</w:t>
      </w:r>
      <w:r>
        <w:rPr>
          <w:rFonts w:ascii="宋体" w:hAnsi="宋体" w:cs="宋体" w:hint="eastAsia"/>
          <w:sz w:val="24"/>
        </w:rPr>
        <w:t>4</w:t>
      </w:r>
      <w:r w:rsidRPr="00481206">
        <w:rPr>
          <w:rFonts w:ascii="宋体" w:hAnsi="宋体" w:cs="宋体" w:hint="eastAsia"/>
          <w:sz w:val="24"/>
        </w:rPr>
        <w:t>节</w:t>
      </w:r>
      <w:r w:rsidR="00481206" w:rsidRPr="00481206">
        <w:rPr>
          <w:rFonts w:ascii="宋体" w:hAnsi="宋体" w:cs="宋体" w:hint="eastAsia"/>
          <w:sz w:val="24"/>
        </w:rPr>
        <w:t>，第13讲）。</w:t>
      </w:r>
      <w:bookmarkEnd w:id="659"/>
      <w:bookmarkEnd w:id="660"/>
    </w:p>
    <w:p w:rsidR="00481206" w:rsidRPr="00481206" w:rsidRDefault="00481206" w:rsidP="00481206">
      <w:pPr>
        <w:spacing w:line="360" w:lineRule="auto"/>
        <w:ind w:firstLineChars="200" w:firstLine="480"/>
        <w:outlineLvl w:val="1"/>
        <w:rPr>
          <w:rFonts w:ascii="宋体" w:hAnsi="宋体" w:cs="宋体"/>
          <w:sz w:val="24"/>
        </w:rPr>
      </w:pPr>
      <w:bookmarkStart w:id="662" w:name="_Toc444350330"/>
      <w:bookmarkStart w:id="663" w:name="_Toc474271805"/>
      <w:r w:rsidRPr="00481206">
        <w:rPr>
          <w:rFonts w:ascii="宋体" w:hAnsi="宋体" w:cs="宋体" w:hint="eastAsia"/>
          <w:bCs/>
          <w:sz w:val="24"/>
        </w:rPr>
        <w:t>7.6.2单元教学目标</w:t>
      </w:r>
      <w:bookmarkEnd w:id="661"/>
      <w:bookmarkEnd w:id="662"/>
      <w:bookmarkEnd w:id="663"/>
      <w:r w:rsidRPr="00481206">
        <w:rPr>
          <w:rFonts w:ascii="宋体" w:hAnsi="宋体" w:cs="宋体" w:hint="eastAsia"/>
          <w:sz w:val="24"/>
        </w:rPr>
        <w:tab/>
      </w:r>
    </w:p>
    <w:p w:rsidR="00481206" w:rsidRPr="00481206" w:rsidRDefault="00481206" w:rsidP="00481206">
      <w:pPr>
        <w:spacing w:line="360" w:lineRule="auto"/>
        <w:ind w:firstLineChars="200" w:firstLine="480"/>
        <w:rPr>
          <w:rFonts w:ascii="宋体" w:hAnsi="宋体"/>
          <w:bCs/>
          <w:sz w:val="24"/>
        </w:rPr>
      </w:pPr>
      <w:r w:rsidRPr="00481206">
        <w:rPr>
          <w:rFonts w:ascii="宋体" w:hAnsi="宋体" w:cs="宋体" w:hint="eastAsia"/>
          <w:sz w:val="24"/>
        </w:rPr>
        <w:lastRenderedPageBreak/>
        <w:t>了解</w:t>
      </w:r>
      <w:r w:rsidRPr="00481206">
        <w:rPr>
          <w:rFonts w:ascii="宋体" w:hAnsi="宋体" w:hint="eastAsia"/>
          <w:bCs/>
          <w:sz w:val="24"/>
        </w:rPr>
        <w:t>套利和投机的</w:t>
      </w:r>
      <w:r w:rsidRPr="00481206">
        <w:rPr>
          <w:rFonts w:ascii="宋体" w:hAnsi="宋体" w:hint="eastAsia"/>
          <w:sz w:val="24"/>
        </w:rPr>
        <w:t>区别、</w:t>
      </w:r>
      <w:r w:rsidRPr="00481206">
        <w:rPr>
          <w:rFonts w:ascii="宋体" w:hAnsi="宋体" w:hint="eastAsia"/>
          <w:bCs/>
          <w:sz w:val="24"/>
        </w:rPr>
        <w:t>套利和投机在金融期货交易中的作用；掌握金融期货的套利的三种策略；了解金融期货的投机策略。</w:t>
      </w:r>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bCs/>
          <w:sz w:val="24"/>
        </w:rPr>
        <w:t xml:space="preserve">    </w:t>
      </w:r>
      <w:bookmarkStart w:id="664" w:name="_Toc430423854"/>
      <w:bookmarkStart w:id="665" w:name="_Toc444350331"/>
      <w:bookmarkStart w:id="666" w:name="_Toc474271806"/>
      <w:r w:rsidRPr="00481206">
        <w:rPr>
          <w:rFonts w:ascii="宋体" w:hAnsi="宋体" w:cs="宋体" w:hint="eastAsia"/>
          <w:bCs/>
          <w:sz w:val="24"/>
        </w:rPr>
        <w:t>7.6.3单元教学内容</w:t>
      </w:r>
      <w:bookmarkEnd w:id="664"/>
      <w:bookmarkEnd w:id="665"/>
      <w:bookmarkEnd w:id="666"/>
      <w:r w:rsidRPr="00481206">
        <w:rPr>
          <w:rFonts w:ascii="宋体" w:hAnsi="宋体" w:cs="宋体" w:hint="eastAsia"/>
          <w:sz w:val="24"/>
        </w:rPr>
        <w:tab/>
      </w:r>
    </w:p>
    <w:p w:rsidR="00481206" w:rsidRPr="00481206" w:rsidRDefault="00481206" w:rsidP="00481206">
      <w:pPr>
        <w:ind w:firstLineChars="200" w:firstLine="480"/>
        <w:rPr>
          <w:rFonts w:ascii="宋体" w:hAnsi="宋体"/>
          <w:bCs/>
          <w:sz w:val="24"/>
        </w:rPr>
      </w:pPr>
      <w:r w:rsidRPr="00481206">
        <w:rPr>
          <w:rFonts w:ascii="宋体" w:hAnsi="宋体" w:hint="eastAsia"/>
          <w:bCs/>
          <w:sz w:val="24"/>
        </w:rPr>
        <w:t>第五章 金融期货的套利和投机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第一节 套利和投机的异同</w:t>
      </w:r>
    </w:p>
    <w:p w:rsidR="00481206" w:rsidRPr="00481206" w:rsidRDefault="00481206" w:rsidP="00481206">
      <w:pPr>
        <w:spacing w:line="360" w:lineRule="auto"/>
        <w:ind w:firstLineChars="200" w:firstLine="480"/>
        <w:outlineLvl w:val="0"/>
        <w:rPr>
          <w:rFonts w:ascii="宋体" w:hAnsi="宋体"/>
          <w:bCs/>
          <w:sz w:val="24"/>
        </w:rPr>
      </w:pPr>
      <w:bookmarkStart w:id="667" w:name="_Toc444350332"/>
      <w:bookmarkStart w:id="668" w:name="_Toc474271807"/>
      <w:r w:rsidRPr="00481206">
        <w:rPr>
          <w:rFonts w:ascii="宋体" w:hAnsi="宋体" w:hint="eastAsia"/>
          <w:bCs/>
          <w:sz w:val="24"/>
        </w:rPr>
        <w:t>一、套利的定义与性质</w:t>
      </w:r>
      <w:bookmarkEnd w:id="667"/>
      <w:bookmarkEnd w:id="668"/>
    </w:p>
    <w:p w:rsidR="00481206" w:rsidRPr="00481206" w:rsidRDefault="00481206" w:rsidP="00481206">
      <w:pPr>
        <w:spacing w:line="360" w:lineRule="auto"/>
        <w:ind w:firstLineChars="200" w:firstLine="480"/>
        <w:outlineLvl w:val="0"/>
        <w:rPr>
          <w:rFonts w:ascii="宋体" w:hAnsi="宋体"/>
          <w:sz w:val="24"/>
        </w:rPr>
      </w:pPr>
      <w:bookmarkStart w:id="669" w:name="_Toc444350333"/>
      <w:bookmarkStart w:id="670" w:name="_Toc474271808"/>
      <w:r w:rsidRPr="00481206">
        <w:rPr>
          <w:rFonts w:ascii="宋体" w:hAnsi="宋体" w:hint="eastAsia"/>
          <w:sz w:val="24"/>
        </w:rPr>
        <w:t>二、投机的定义与性质</w:t>
      </w:r>
      <w:bookmarkEnd w:id="669"/>
      <w:bookmarkEnd w:id="670"/>
    </w:p>
    <w:p w:rsidR="00481206" w:rsidRPr="00481206" w:rsidRDefault="00481206" w:rsidP="00481206">
      <w:pPr>
        <w:spacing w:line="360" w:lineRule="auto"/>
        <w:ind w:firstLineChars="200" w:firstLine="480"/>
        <w:outlineLvl w:val="0"/>
        <w:rPr>
          <w:rFonts w:ascii="宋体" w:hAnsi="宋体"/>
          <w:sz w:val="24"/>
        </w:rPr>
      </w:pPr>
      <w:bookmarkStart w:id="671" w:name="_Toc444350334"/>
      <w:bookmarkStart w:id="672" w:name="_Toc474271809"/>
      <w:r w:rsidRPr="00481206">
        <w:rPr>
          <w:rFonts w:ascii="宋体" w:hAnsi="宋体" w:hint="eastAsia"/>
          <w:sz w:val="24"/>
        </w:rPr>
        <w:t>三、套利与投机的区别</w:t>
      </w:r>
      <w:bookmarkEnd w:id="671"/>
      <w:bookmarkEnd w:id="672"/>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第二节 套利和投机在金融期货交易中的作用</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第三节 金融期货的套利策略</w:t>
      </w:r>
    </w:p>
    <w:p w:rsidR="00481206" w:rsidRPr="00481206" w:rsidRDefault="00481206" w:rsidP="00481206">
      <w:pPr>
        <w:spacing w:line="360" w:lineRule="auto"/>
        <w:ind w:firstLineChars="200" w:firstLine="480"/>
        <w:outlineLvl w:val="0"/>
        <w:rPr>
          <w:rFonts w:ascii="宋体" w:hAnsi="宋体"/>
          <w:bCs/>
          <w:sz w:val="24"/>
        </w:rPr>
      </w:pPr>
      <w:bookmarkStart w:id="673" w:name="_Toc444350335"/>
      <w:bookmarkStart w:id="674" w:name="_Toc474271810"/>
      <w:r w:rsidRPr="00481206">
        <w:rPr>
          <w:rFonts w:ascii="宋体" w:hAnsi="宋体" w:hint="eastAsia"/>
          <w:bCs/>
          <w:sz w:val="24"/>
        </w:rPr>
        <w:t>一、合约内价差</w:t>
      </w:r>
      <w:bookmarkEnd w:id="673"/>
      <w:bookmarkEnd w:id="674"/>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二、合约间价差</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三、市场间价差</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第四节 金融期货的投机策略</w:t>
      </w:r>
    </w:p>
    <w:p w:rsidR="00481206" w:rsidRPr="00481206" w:rsidRDefault="00481206" w:rsidP="00481206">
      <w:pPr>
        <w:spacing w:line="360" w:lineRule="auto"/>
        <w:ind w:firstLineChars="200" w:firstLine="480"/>
        <w:outlineLvl w:val="0"/>
        <w:rPr>
          <w:rFonts w:ascii="宋体" w:hAnsi="宋体"/>
          <w:sz w:val="24"/>
        </w:rPr>
      </w:pPr>
      <w:bookmarkStart w:id="675" w:name="_Toc444350336"/>
      <w:bookmarkStart w:id="676" w:name="_Toc474271811"/>
      <w:r w:rsidRPr="00481206">
        <w:rPr>
          <w:rFonts w:ascii="宋体" w:hAnsi="宋体" w:hint="eastAsia"/>
          <w:sz w:val="24"/>
        </w:rPr>
        <w:t>一、金融期货的多头投机</w:t>
      </w:r>
      <w:bookmarkEnd w:id="675"/>
      <w:bookmarkEnd w:id="676"/>
    </w:p>
    <w:p w:rsidR="00481206" w:rsidRPr="00481206" w:rsidRDefault="00481206" w:rsidP="00481206">
      <w:pPr>
        <w:spacing w:line="360" w:lineRule="auto"/>
        <w:ind w:firstLineChars="200" w:firstLine="480"/>
        <w:outlineLvl w:val="0"/>
        <w:rPr>
          <w:rFonts w:ascii="宋体" w:hAnsi="宋体"/>
          <w:sz w:val="24"/>
        </w:rPr>
      </w:pPr>
      <w:bookmarkStart w:id="677" w:name="_Toc444350337"/>
      <w:bookmarkStart w:id="678" w:name="_Toc474271812"/>
      <w:r w:rsidRPr="00481206">
        <w:rPr>
          <w:rFonts w:ascii="宋体" w:hAnsi="宋体" w:hint="eastAsia"/>
          <w:sz w:val="24"/>
        </w:rPr>
        <w:t>二、金融期货的空头投机</w:t>
      </w:r>
      <w:bookmarkEnd w:id="677"/>
      <w:bookmarkEnd w:id="678"/>
    </w:p>
    <w:p w:rsidR="00481206" w:rsidRPr="00481206" w:rsidRDefault="00481206" w:rsidP="00481206">
      <w:pPr>
        <w:spacing w:line="360" w:lineRule="auto"/>
        <w:ind w:firstLineChars="200" w:firstLine="480"/>
        <w:outlineLvl w:val="0"/>
        <w:rPr>
          <w:rFonts w:ascii="宋体" w:hAnsi="宋体"/>
          <w:sz w:val="24"/>
        </w:rPr>
      </w:pPr>
      <w:bookmarkStart w:id="679" w:name="_Toc444350338"/>
      <w:bookmarkStart w:id="680" w:name="_Toc474271813"/>
      <w:r w:rsidRPr="00481206">
        <w:rPr>
          <w:rFonts w:ascii="宋体" w:hAnsi="宋体" w:hint="eastAsia"/>
          <w:sz w:val="24"/>
        </w:rPr>
        <w:t>三、金融期货的风险防范</w:t>
      </w:r>
      <w:bookmarkEnd w:id="679"/>
      <w:bookmarkEnd w:id="680"/>
    </w:p>
    <w:p w:rsidR="00481206" w:rsidRPr="00481206" w:rsidRDefault="00481206" w:rsidP="00481206">
      <w:pPr>
        <w:spacing w:line="360" w:lineRule="auto"/>
        <w:outlineLvl w:val="1"/>
        <w:rPr>
          <w:rFonts w:ascii="宋体" w:hAnsi="宋体" w:cs="宋体"/>
          <w:bCs/>
          <w:sz w:val="24"/>
        </w:rPr>
      </w:pPr>
      <w:r w:rsidRPr="00481206">
        <w:rPr>
          <w:rFonts w:ascii="宋体" w:hAnsi="宋体" w:cs="宋体" w:hint="eastAsia"/>
          <w:bCs/>
          <w:sz w:val="24"/>
        </w:rPr>
        <w:t xml:space="preserve">   </w:t>
      </w:r>
      <w:bookmarkStart w:id="681" w:name="_Toc430423874"/>
      <w:bookmarkStart w:id="682" w:name="_Toc444350339"/>
      <w:bookmarkStart w:id="683" w:name="_Toc474271814"/>
      <w:r w:rsidRPr="00481206">
        <w:rPr>
          <w:rFonts w:ascii="宋体" w:hAnsi="宋体" w:cs="宋体" w:hint="eastAsia"/>
          <w:bCs/>
          <w:sz w:val="24"/>
        </w:rPr>
        <w:t>【重点】</w:t>
      </w:r>
      <w:bookmarkEnd w:id="681"/>
      <w:bookmarkEnd w:id="682"/>
      <w:bookmarkEnd w:id="683"/>
    </w:p>
    <w:p w:rsidR="00481206" w:rsidRPr="00481206" w:rsidRDefault="00481206" w:rsidP="00481206">
      <w:pPr>
        <w:spacing w:line="360" w:lineRule="auto"/>
        <w:ind w:firstLineChars="200" w:firstLine="480"/>
        <w:outlineLvl w:val="1"/>
        <w:rPr>
          <w:rFonts w:ascii="宋体" w:hAnsi="宋体" w:cs="宋体"/>
          <w:bCs/>
          <w:sz w:val="24"/>
        </w:rPr>
      </w:pPr>
      <w:bookmarkStart w:id="684" w:name="_Toc430423875"/>
      <w:bookmarkStart w:id="685" w:name="_Toc444350340"/>
      <w:bookmarkStart w:id="686" w:name="_Toc474271815"/>
      <w:r w:rsidRPr="00481206">
        <w:rPr>
          <w:rFonts w:ascii="宋体" w:hAnsi="宋体" w:hint="eastAsia"/>
          <w:bCs/>
          <w:sz w:val="24"/>
        </w:rPr>
        <w:t>金融期货的套利策略</w:t>
      </w:r>
      <w:r w:rsidRPr="00481206">
        <w:rPr>
          <w:rFonts w:ascii="宋体" w:hAnsi="宋体" w:cs="宋体" w:hint="eastAsia"/>
          <w:bCs/>
          <w:sz w:val="24"/>
        </w:rPr>
        <w:t>。</w:t>
      </w:r>
      <w:bookmarkEnd w:id="684"/>
      <w:bookmarkEnd w:id="685"/>
      <w:bookmarkEnd w:id="686"/>
    </w:p>
    <w:p w:rsidR="00481206" w:rsidRPr="00481206" w:rsidRDefault="00481206" w:rsidP="00481206">
      <w:pPr>
        <w:spacing w:line="360" w:lineRule="auto"/>
        <w:outlineLvl w:val="1"/>
        <w:rPr>
          <w:rFonts w:ascii="宋体" w:hAnsi="宋体" w:cs="宋体"/>
          <w:bCs/>
          <w:sz w:val="24"/>
        </w:rPr>
      </w:pPr>
      <w:r w:rsidRPr="00481206">
        <w:rPr>
          <w:rFonts w:ascii="宋体" w:hAnsi="宋体" w:cs="宋体" w:hint="eastAsia"/>
          <w:bCs/>
          <w:sz w:val="24"/>
        </w:rPr>
        <w:t xml:space="preserve">   </w:t>
      </w:r>
      <w:bookmarkStart w:id="687" w:name="_Toc430423876"/>
      <w:bookmarkStart w:id="688" w:name="_Toc444350341"/>
      <w:bookmarkStart w:id="689" w:name="_Toc474271816"/>
      <w:r w:rsidRPr="00481206">
        <w:rPr>
          <w:rFonts w:ascii="宋体" w:hAnsi="宋体" w:cs="宋体" w:hint="eastAsia"/>
          <w:bCs/>
          <w:sz w:val="24"/>
        </w:rPr>
        <w:t>【难点】</w:t>
      </w:r>
      <w:bookmarkEnd w:id="687"/>
      <w:bookmarkEnd w:id="688"/>
      <w:bookmarkEnd w:id="689"/>
    </w:p>
    <w:p w:rsidR="00481206" w:rsidRPr="00481206" w:rsidRDefault="00481206" w:rsidP="00481206">
      <w:pPr>
        <w:spacing w:line="360" w:lineRule="auto"/>
        <w:ind w:firstLineChars="200" w:firstLine="480"/>
        <w:outlineLvl w:val="0"/>
        <w:rPr>
          <w:rFonts w:ascii="宋体" w:hAnsi="宋体"/>
          <w:bCs/>
          <w:sz w:val="24"/>
        </w:rPr>
      </w:pPr>
      <w:bookmarkStart w:id="690" w:name="_Toc430423877"/>
      <w:bookmarkStart w:id="691" w:name="_Toc444350342"/>
      <w:bookmarkStart w:id="692" w:name="_Toc474271817"/>
      <w:r w:rsidRPr="00481206">
        <w:rPr>
          <w:rFonts w:ascii="宋体" w:hAnsi="宋体" w:cs="宋体" w:hint="eastAsia"/>
          <w:sz w:val="24"/>
        </w:rPr>
        <w:t>利用</w:t>
      </w:r>
      <w:r w:rsidRPr="00481206">
        <w:rPr>
          <w:rFonts w:ascii="宋体" w:hAnsi="宋体" w:hint="eastAsia"/>
          <w:bCs/>
          <w:sz w:val="24"/>
        </w:rPr>
        <w:t>合约内价差、合约间价差、</w:t>
      </w:r>
      <w:r w:rsidRPr="00481206">
        <w:rPr>
          <w:rFonts w:ascii="宋体" w:hAnsi="宋体" w:hint="eastAsia"/>
          <w:sz w:val="24"/>
        </w:rPr>
        <w:t>市场间价差进行套利</w:t>
      </w:r>
      <w:r w:rsidRPr="00481206">
        <w:rPr>
          <w:rFonts w:ascii="宋体" w:hAnsi="宋体" w:cs="宋体" w:hint="eastAsia"/>
          <w:bCs/>
          <w:sz w:val="24"/>
        </w:rPr>
        <w:t>。</w:t>
      </w:r>
      <w:bookmarkEnd w:id="690"/>
      <w:bookmarkEnd w:id="691"/>
      <w:bookmarkEnd w:id="692"/>
    </w:p>
    <w:p w:rsidR="00481206" w:rsidRPr="00481206" w:rsidRDefault="00481206" w:rsidP="00481206">
      <w:pPr>
        <w:numPr>
          <w:ilvl w:val="0"/>
          <w:numId w:val="5"/>
        </w:numPr>
        <w:tabs>
          <w:tab w:val="left" w:pos="420"/>
        </w:tabs>
        <w:spacing w:line="360" w:lineRule="auto"/>
        <w:ind w:left="0" w:firstLine="420"/>
        <w:outlineLvl w:val="1"/>
        <w:rPr>
          <w:rFonts w:ascii="宋体" w:hAnsi="宋体" w:cs="宋体"/>
          <w:bCs/>
          <w:sz w:val="24"/>
        </w:rPr>
      </w:pPr>
      <w:bookmarkStart w:id="693" w:name="_Toc430423878"/>
      <w:bookmarkStart w:id="694" w:name="_Toc444350343"/>
      <w:bookmarkStart w:id="695" w:name="_Toc474271818"/>
      <w:r w:rsidRPr="00481206">
        <w:rPr>
          <w:rFonts w:ascii="宋体" w:hAnsi="宋体" w:cs="宋体" w:hint="eastAsia"/>
          <w:bCs/>
          <w:sz w:val="24"/>
        </w:rPr>
        <w:t>7.6.4单元教学过程（共1讲）</w:t>
      </w:r>
      <w:bookmarkEnd w:id="693"/>
      <w:bookmarkEnd w:id="694"/>
      <w:bookmarkEnd w:id="695"/>
      <w:r w:rsidRPr="00481206">
        <w:rPr>
          <w:rFonts w:ascii="宋体" w:hAnsi="宋体" w:cs="宋体" w:hint="eastAsia"/>
          <w:bCs/>
          <w:sz w:val="24"/>
        </w:rPr>
        <w:tab/>
      </w:r>
    </w:p>
    <w:p w:rsidR="00481206" w:rsidRPr="00481206" w:rsidRDefault="00481206" w:rsidP="00481206">
      <w:pPr>
        <w:jc w:val="center"/>
        <w:rPr>
          <w:rFonts w:ascii="宋体" w:hAnsi="宋体"/>
          <w:bCs/>
          <w:sz w:val="24"/>
        </w:rPr>
      </w:pPr>
      <w:bookmarkStart w:id="696" w:name="_Toc430424024"/>
      <w:r w:rsidRPr="00481206">
        <w:rPr>
          <w:rFonts w:ascii="宋体" w:hAnsi="宋体" w:hint="eastAsia"/>
          <w:bCs/>
          <w:sz w:val="24"/>
        </w:rPr>
        <w:t>第五章  金融期货的套利和投机</w:t>
      </w:r>
    </w:p>
    <w:p w:rsidR="00481206" w:rsidRPr="00481206" w:rsidRDefault="00481206" w:rsidP="00481206">
      <w:pPr>
        <w:spacing w:line="360" w:lineRule="auto"/>
        <w:jc w:val="center"/>
        <w:rPr>
          <w:rFonts w:ascii="宋体" w:hAnsi="宋体"/>
          <w:bCs/>
          <w:sz w:val="24"/>
        </w:rPr>
      </w:pPr>
      <w:r w:rsidRPr="00481206">
        <w:rPr>
          <w:rFonts w:ascii="宋体" w:hAnsi="宋体" w:hint="eastAsia"/>
          <w:bCs/>
          <w:sz w:val="24"/>
        </w:rPr>
        <w:t>第一节  套利和投机的异同</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套利和投机是两个不同的交易行为，不能混为一谈，因而套利者和投机者也是两类不同的交易者。</w:t>
      </w:r>
    </w:p>
    <w:p w:rsidR="00481206" w:rsidRPr="00481206" w:rsidRDefault="00481206" w:rsidP="00481206">
      <w:pPr>
        <w:spacing w:line="360" w:lineRule="auto"/>
        <w:ind w:firstLineChars="200" w:firstLine="480"/>
        <w:outlineLvl w:val="0"/>
        <w:rPr>
          <w:rFonts w:ascii="宋体" w:hAnsi="宋体"/>
          <w:bCs/>
          <w:sz w:val="24"/>
        </w:rPr>
      </w:pPr>
      <w:bookmarkStart w:id="697" w:name="_Toc444350344"/>
      <w:bookmarkStart w:id="698" w:name="_Toc474271819"/>
      <w:r w:rsidRPr="00481206">
        <w:rPr>
          <w:rFonts w:ascii="宋体" w:hAnsi="宋体" w:hint="eastAsia"/>
          <w:bCs/>
          <w:sz w:val="24"/>
        </w:rPr>
        <w:t>一、套利的定义与性质</w:t>
      </w:r>
      <w:bookmarkEnd w:id="697"/>
      <w:bookmarkEnd w:id="698"/>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所谓套利，就是投资者利用暂时存在的不合理的价格关系，通过同时买进和卖出相同或相关的金融商品或金融期货合约，而赚取其中的价差收益的行为。</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一般来讲，不合理的价格关系主要有三种：</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lastRenderedPageBreak/>
        <w:t>第一种：同种金融期货合约，在不同市场之间的不合理的价格关系；</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第二种：同一市场、同种期货合约，在不同交割月份的不合理的价格关系；</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第三种：同一市场、同一交割月份的不同金融期货合约之间的不合理的价格关系。</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所有这些不合理的价格关系一般都只在于一个较短的时间中，通过套利者的套利活动，这些不合理的价格关系将很快得到矫正。</w:t>
      </w:r>
    </w:p>
    <w:p w:rsidR="00481206" w:rsidRPr="00481206" w:rsidRDefault="00481206" w:rsidP="00481206">
      <w:pPr>
        <w:spacing w:line="360" w:lineRule="auto"/>
        <w:ind w:firstLineChars="200" w:firstLine="480"/>
        <w:outlineLvl w:val="0"/>
        <w:rPr>
          <w:rFonts w:ascii="宋体" w:hAnsi="宋体"/>
          <w:sz w:val="24"/>
        </w:rPr>
      </w:pPr>
      <w:bookmarkStart w:id="699" w:name="_Toc444350345"/>
      <w:bookmarkStart w:id="700" w:name="_Toc474271820"/>
      <w:r w:rsidRPr="00481206">
        <w:rPr>
          <w:rFonts w:ascii="宋体" w:hAnsi="宋体" w:hint="eastAsia"/>
          <w:sz w:val="24"/>
        </w:rPr>
        <w:t>二、投机的定义与性质</w:t>
      </w:r>
      <w:bookmarkEnd w:id="699"/>
      <w:bookmarkEnd w:id="700"/>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所谓投机，是指人们根据自己对金融期货市场的价格变动趋势的预测，通过看涨时买进、看跌时卖出，以获取价差收益的交易行为。</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在投机中，投机者根据自己对市场行情之变动趋势的预测而从事交易，他们从事这种交易的目的自然是从价格的变动中获取利润。但是他们的预测未必准确，因此他们在交易中未必获利，如果他们的预测是错误的，则他们在交易中将遭受损失。</w:t>
      </w:r>
    </w:p>
    <w:p w:rsidR="00481206" w:rsidRPr="00481206" w:rsidRDefault="00481206" w:rsidP="00481206">
      <w:pPr>
        <w:spacing w:line="360" w:lineRule="auto"/>
        <w:ind w:firstLineChars="200" w:firstLine="480"/>
        <w:outlineLvl w:val="0"/>
        <w:rPr>
          <w:rFonts w:ascii="宋体" w:hAnsi="宋体"/>
          <w:sz w:val="24"/>
        </w:rPr>
      </w:pPr>
      <w:bookmarkStart w:id="701" w:name="_Toc444350346"/>
      <w:bookmarkStart w:id="702" w:name="_Toc474271821"/>
      <w:r w:rsidRPr="00481206">
        <w:rPr>
          <w:rFonts w:ascii="宋体" w:hAnsi="宋体" w:hint="eastAsia"/>
          <w:sz w:val="24"/>
        </w:rPr>
        <w:t>三、套利与投机的区别</w:t>
      </w:r>
      <w:bookmarkEnd w:id="701"/>
      <w:bookmarkEnd w:id="702"/>
    </w:p>
    <w:p w:rsidR="00481206" w:rsidRPr="00481206" w:rsidRDefault="00481206" w:rsidP="00481206">
      <w:pPr>
        <w:spacing w:line="360" w:lineRule="auto"/>
        <w:rPr>
          <w:rFonts w:ascii="宋体" w:hAnsi="宋体"/>
          <w:sz w:val="24"/>
        </w:rPr>
      </w:pPr>
      <w:r w:rsidRPr="00481206">
        <w:rPr>
          <w:rFonts w:ascii="宋体" w:hAnsi="宋体" w:hint="eastAsia"/>
          <w:sz w:val="24"/>
        </w:rPr>
        <w:t xml:space="preserve">   （一）交易方式不同</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套利者都是同时做多头和空头，也就是说价格被低估的做多头，价格被高估的做空头。当价格关系改变后，套利者通过对冲其买卖部位即可获得无风险利润。投机者往往在某一特定的时间只做其中一种，即当价格较低而预期价格上涨时做多头，而当价格较高但预期价格下跌时做空头。如果预期正确，投机者可获利，预期错误，投机者将受损。</w:t>
      </w:r>
    </w:p>
    <w:p w:rsidR="00481206" w:rsidRPr="00481206" w:rsidRDefault="00481206" w:rsidP="00481206">
      <w:pPr>
        <w:spacing w:line="360" w:lineRule="auto"/>
        <w:ind w:firstLineChars="150" w:firstLine="360"/>
        <w:rPr>
          <w:rFonts w:ascii="宋体" w:hAnsi="宋体"/>
          <w:sz w:val="24"/>
        </w:rPr>
      </w:pPr>
      <w:r w:rsidRPr="00481206">
        <w:rPr>
          <w:rFonts w:ascii="宋体" w:hAnsi="宋体" w:hint="eastAsia"/>
          <w:sz w:val="24"/>
        </w:rPr>
        <w:t>（二）利润来源不同</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投机者的利润来源于价格水平的变动，而套利者的利润来源于价格关系的变动，主要是因为投机者持有的是同一种金融工具或期货合约，而套利者可以持有不同的金融工具或金融合约。</w:t>
      </w:r>
    </w:p>
    <w:p w:rsidR="00481206" w:rsidRPr="00481206" w:rsidRDefault="00481206" w:rsidP="00481206">
      <w:pPr>
        <w:spacing w:line="360" w:lineRule="auto"/>
        <w:ind w:firstLineChars="150" w:firstLine="360"/>
        <w:rPr>
          <w:rFonts w:ascii="宋体" w:hAnsi="宋体"/>
          <w:sz w:val="24"/>
        </w:rPr>
      </w:pPr>
      <w:r w:rsidRPr="00481206">
        <w:rPr>
          <w:rFonts w:ascii="宋体" w:hAnsi="宋体" w:hint="eastAsia"/>
          <w:sz w:val="24"/>
        </w:rPr>
        <w:t>（三）承受的风险不同</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一般来讲，套利者获得的利润是无风险理论，因此其承担的风险比较小，而投机者承担的风险比较高。</w:t>
      </w:r>
    </w:p>
    <w:p w:rsidR="00481206" w:rsidRPr="00481206" w:rsidRDefault="00481206" w:rsidP="00481206">
      <w:pPr>
        <w:spacing w:line="360" w:lineRule="auto"/>
        <w:ind w:firstLineChars="150" w:firstLine="360"/>
        <w:rPr>
          <w:rFonts w:ascii="宋体" w:hAnsi="宋体"/>
          <w:sz w:val="24"/>
        </w:rPr>
      </w:pPr>
      <w:r w:rsidRPr="00481206">
        <w:rPr>
          <w:rFonts w:ascii="宋体" w:hAnsi="宋体" w:hint="eastAsia"/>
          <w:sz w:val="24"/>
        </w:rPr>
        <w:t>（四）交易的成本不同</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套利者由于承担的风险比较小，因此交易所对套利者所收取的保证金比较低，而对投机者收取的保证金比较高，因此两者交易的成本不同。</w:t>
      </w:r>
    </w:p>
    <w:p w:rsidR="00481206" w:rsidRPr="00481206" w:rsidRDefault="00481206" w:rsidP="00481206">
      <w:pPr>
        <w:spacing w:line="360" w:lineRule="auto"/>
        <w:jc w:val="center"/>
        <w:rPr>
          <w:rFonts w:ascii="宋体" w:hAnsi="宋体"/>
          <w:bCs/>
          <w:sz w:val="24"/>
        </w:rPr>
      </w:pPr>
      <w:r w:rsidRPr="00481206">
        <w:rPr>
          <w:rFonts w:ascii="宋体" w:hAnsi="宋体" w:hint="eastAsia"/>
          <w:bCs/>
          <w:sz w:val="24"/>
        </w:rPr>
        <w:t>第二节 套利和投机在金融期货交易中的作用</w:t>
      </w:r>
    </w:p>
    <w:p w:rsidR="00481206" w:rsidRPr="00481206" w:rsidRDefault="00481206" w:rsidP="00481206">
      <w:pPr>
        <w:spacing w:line="360" w:lineRule="auto"/>
        <w:outlineLvl w:val="0"/>
        <w:rPr>
          <w:rFonts w:ascii="宋体" w:hAnsi="宋体"/>
          <w:bCs/>
          <w:sz w:val="24"/>
        </w:rPr>
      </w:pPr>
      <w:r w:rsidRPr="00481206">
        <w:rPr>
          <w:rFonts w:ascii="宋体" w:hAnsi="宋体" w:hint="eastAsia"/>
          <w:bCs/>
          <w:sz w:val="24"/>
        </w:rPr>
        <w:t xml:space="preserve">    </w:t>
      </w:r>
      <w:bookmarkStart w:id="703" w:name="_Toc444350347"/>
      <w:bookmarkStart w:id="704" w:name="_Toc474271822"/>
      <w:r w:rsidRPr="00481206">
        <w:rPr>
          <w:rFonts w:ascii="宋体" w:hAnsi="宋体" w:hint="eastAsia"/>
          <w:bCs/>
          <w:sz w:val="24"/>
        </w:rPr>
        <w:t>第一、承担金融风险，为套期保值者转移金融风险提供条件。</w:t>
      </w:r>
      <w:bookmarkEnd w:id="703"/>
      <w:bookmarkEnd w:id="704"/>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金融期货之所以具有套期保值的功能，并不是因为金融期货市场本身能从根本上消</w:t>
      </w:r>
      <w:r w:rsidRPr="00481206">
        <w:rPr>
          <w:rFonts w:ascii="宋体" w:hAnsi="宋体" w:hint="eastAsia"/>
          <w:bCs/>
          <w:sz w:val="24"/>
        </w:rPr>
        <w:lastRenderedPageBreak/>
        <w:t>除各经济主体在生产经营和投资过程中所面临的金融风险，而是通过金融期货交易，套期保值者在金融市场中将面临的风险转移给交易对手，但同时必须有人愿意承担金融风险，往往投机者是这种金融风险的承担着。</w:t>
      </w:r>
    </w:p>
    <w:p w:rsidR="00481206" w:rsidRPr="00481206" w:rsidRDefault="00481206" w:rsidP="00481206">
      <w:pPr>
        <w:spacing w:line="360" w:lineRule="auto"/>
        <w:ind w:firstLine="480"/>
        <w:outlineLvl w:val="0"/>
        <w:rPr>
          <w:rFonts w:ascii="宋体" w:hAnsi="宋体"/>
          <w:bCs/>
          <w:sz w:val="24"/>
        </w:rPr>
      </w:pPr>
      <w:bookmarkStart w:id="705" w:name="_Toc444350348"/>
      <w:bookmarkStart w:id="706" w:name="_Toc474271823"/>
      <w:r w:rsidRPr="00481206">
        <w:rPr>
          <w:rFonts w:ascii="宋体" w:hAnsi="宋体" w:hint="eastAsia"/>
          <w:bCs/>
          <w:sz w:val="24"/>
        </w:rPr>
        <w:t>第二，缩小金融期货价格的波动幅度，促进均衡价格的形成。</w:t>
      </w:r>
      <w:bookmarkEnd w:id="705"/>
      <w:bookmarkEnd w:id="706"/>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一般来讲，每一种金融期货合约均有一个正常的、合理的理论价格，任何两种合约之间总存在一个正常的、稳定的价格关系。一旦这个价格关系被扭曲，则在此两种合约中，必有一种合约被相对的高估，而另一种合约则被相对的低谷。于是必然生无风险的套利机会，套利者只要买进被低估的合约，卖出被高估的合约，则经过一个短暂的时间后，其价格关系将受供求关系的影响而回归到正常状态。即原被高估的合约价格下跌，而原被低估的合约价格上升，套利者通过对冲可获得一定的利润。</w:t>
      </w:r>
    </w:p>
    <w:p w:rsidR="00481206" w:rsidRPr="00481206" w:rsidRDefault="00481206" w:rsidP="00481206">
      <w:pPr>
        <w:spacing w:line="360" w:lineRule="auto"/>
        <w:ind w:firstLine="480"/>
        <w:outlineLvl w:val="0"/>
        <w:rPr>
          <w:rFonts w:ascii="宋体" w:hAnsi="宋体"/>
          <w:bCs/>
          <w:sz w:val="24"/>
        </w:rPr>
      </w:pPr>
      <w:bookmarkStart w:id="707" w:name="_Toc444350349"/>
      <w:bookmarkStart w:id="708" w:name="_Toc474271824"/>
      <w:r w:rsidRPr="00481206">
        <w:rPr>
          <w:rFonts w:ascii="宋体" w:hAnsi="宋体" w:hint="eastAsia"/>
          <w:bCs/>
          <w:sz w:val="24"/>
        </w:rPr>
        <w:t>第三，增加市场流动性，为套期保值者提供交易上的便利。</w:t>
      </w:r>
      <w:bookmarkEnd w:id="707"/>
      <w:bookmarkEnd w:id="708"/>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套利者和投机者是金融期货市场中重要的交易者，他们的频繁活动可使金融期货的交易规模迅速扩大，成交量也迅速扩大，这种频繁的交易活动也促使了市场中流动性的增加，这样有利于套期保值者的交易。</w:t>
      </w:r>
    </w:p>
    <w:p w:rsidR="00481206" w:rsidRPr="00481206" w:rsidRDefault="00481206" w:rsidP="00481206">
      <w:pPr>
        <w:spacing w:line="360" w:lineRule="auto"/>
        <w:jc w:val="center"/>
        <w:rPr>
          <w:rFonts w:ascii="宋体" w:hAnsi="宋体"/>
          <w:bCs/>
          <w:sz w:val="24"/>
        </w:rPr>
      </w:pPr>
      <w:r w:rsidRPr="00481206">
        <w:rPr>
          <w:rFonts w:ascii="宋体" w:hAnsi="宋体" w:hint="eastAsia"/>
          <w:bCs/>
          <w:sz w:val="24"/>
        </w:rPr>
        <w:t>第三节 金融期货的套利策略</w:t>
      </w:r>
    </w:p>
    <w:p w:rsidR="00481206" w:rsidRPr="00481206" w:rsidRDefault="00481206" w:rsidP="00481206">
      <w:pPr>
        <w:spacing w:line="360" w:lineRule="auto"/>
        <w:ind w:firstLineChars="200" w:firstLine="480"/>
        <w:outlineLvl w:val="0"/>
        <w:rPr>
          <w:rFonts w:ascii="宋体" w:hAnsi="宋体"/>
          <w:bCs/>
          <w:sz w:val="24"/>
        </w:rPr>
      </w:pPr>
      <w:bookmarkStart w:id="709" w:name="_Toc444350350"/>
      <w:bookmarkStart w:id="710" w:name="_Toc474271825"/>
      <w:r w:rsidRPr="00481206">
        <w:rPr>
          <w:rFonts w:ascii="宋体" w:hAnsi="宋体" w:hint="eastAsia"/>
          <w:bCs/>
          <w:sz w:val="24"/>
        </w:rPr>
        <w:t>一、合约内价差</w:t>
      </w:r>
      <w:bookmarkEnd w:id="709"/>
      <w:bookmarkEnd w:id="710"/>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所谓“合约内价差”，也叫做“商品内价差”，有时还被称为“跨月套利”，它是金融期货交易中最常见的套利形式。在这种套利中，投资者将在同一个交易所，同时买进和卖出不同交割月份的同种金融期货。</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如果投资者买进近期合约，而卖出远期合约，则这种策略为“买进价差”；反之，如果投资者卖出近期合约，而买进远期合约，则这种策略为“卖出价差”。</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买进价差适用于投资者对市场行情看涨，并预期近期合约的价格上涨幅度将大于远期合约的价格上涨幅度。</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例题：某利率期货的行情</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2725"/>
        <w:gridCol w:w="2725"/>
        <w:gridCol w:w="3838"/>
      </w:tblGrid>
      <w:tr w:rsidR="00481206" w:rsidRPr="00481206" w:rsidTr="00CF0F4C">
        <w:tc>
          <w:tcPr>
            <w:tcW w:w="14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合约月份</w:t>
            </w:r>
          </w:p>
        </w:tc>
        <w:tc>
          <w:tcPr>
            <w:tcW w:w="14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价格指数</w:t>
            </w:r>
          </w:p>
        </w:tc>
        <w:tc>
          <w:tcPr>
            <w:tcW w:w="206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价差（基点）</w:t>
            </w:r>
          </w:p>
        </w:tc>
      </w:tr>
      <w:tr w:rsidR="00481206" w:rsidRPr="00481206" w:rsidTr="00CF0F4C">
        <w:tc>
          <w:tcPr>
            <w:tcW w:w="14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6月</w:t>
            </w:r>
          </w:p>
        </w:tc>
        <w:tc>
          <w:tcPr>
            <w:tcW w:w="14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90.00</w:t>
            </w:r>
          </w:p>
        </w:tc>
        <w:tc>
          <w:tcPr>
            <w:tcW w:w="2066" w:type="pct"/>
            <w:vAlign w:val="center"/>
          </w:tcPr>
          <w:p w:rsidR="00481206" w:rsidRPr="00481206" w:rsidRDefault="00481206" w:rsidP="00CF0F4C">
            <w:pPr>
              <w:jc w:val="center"/>
              <w:rPr>
                <w:rFonts w:ascii="宋体" w:hAnsi="宋体"/>
                <w:bCs/>
                <w:sz w:val="24"/>
              </w:rPr>
            </w:pPr>
          </w:p>
        </w:tc>
      </w:tr>
      <w:tr w:rsidR="00481206" w:rsidRPr="00481206" w:rsidTr="00CF0F4C">
        <w:tc>
          <w:tcPr>
            <w:tcW w:w="14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9月</w:t>
            </w:r>
          </w:p>
        </w:tc>
        <w:tc>
          <w:tcPr>
            <w:tcW w:w="14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91.00</w:t>
            </w:r>
          </w:p>
        </w:tc>
        <w:tc>
          <w:tcPr>
            <w:tcW w:w="206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100</w:t>
            </w:r>
          </w:p>
        </w:tc>
      </w:tr>
      <w:tr w:rsidR="00481206" w:rsidRPr="00481206" w:rsidTr="00CF0F4C">
        <w:tc>
          <w:tcPr>
            <w:tcW w:w="14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12月</w:t>
            </w:r>
          </w:p>
        </w:tc>
        <w:tc>
          <w:tcPr>
            <w:tcW w:w="1467"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92.20</w:t>
            </w:r>
          </w:p>
        </w:tc>
        <w:tc>
          <w:tcPr>
            <w:tcW w:w="2066" w:type="pct"/>
            <w:vAlign w:val="center"/>
          </w:tcPr>
          <w:p w:rsidR="00481206" w:rsidRPr="00481206" w:rsidRDefault="00481206" w:rsidP="00CF0F4C">
            <w:pPr>
              <w:jc w:val="center"/>
              <w:rPr>
                <w:rFonts w:ascii="宋体" w:hAnsi="宋体"/>
                <w:bCs/>
                <w:sz w:val="24"/>
              </w:rPr>
            </w:pPr>
            <w:r w:rsidRPr="00481206">
              <w:rPr>
                <w:rFonts w:ascii="宋体" w:hAnsi="宋体" w:hint="eastAsia"/>
                <w:bCs/>
                <w:sz w:val="24"/>
              </w:rPr>
              <w:t>120</w:t>
            </w:r>
          </w:p>
        </w:tc>
      </w:tr>
    </w:tbl>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根据这一行情，某投资者认为9月份与12月份的价差已经超过了100个基点，因此投资者认为9月份合约的上涨幅度大于12月份合约的上涨幅度。为了使价格关系回复到正常水平，该投资者买进9月份合约，同时卖出12月份合约。</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lastRenderedPageBreak/>
        <w:t>到了8月20日，9月份的合约价格涨至91.80（涨了80个基点），而12月份合约的价格涨至92.80（涨了60个基点），两种合约的价差缩小到100个基点。这样，该投资者通过对冲9月份合约而获利1000美元（80*12.5美元），而通过对冲12月份合约损失750美元（12.5*60）。所以在这价差交易中，如果忽略交易成本和其他费用，该投资者净获利250美元。</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与买进价差的不同，卖出价差适用于投资者对市场行情看跌，并预期远期合约的价格下跌幅度小于近期合约的价格下跌幅度，在这种场合，投资者将卖出近期合约，同时买进远期合约。</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二、合约间价差</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所谓“合约间价差”，也称“商品间价差”，是指投资者在同一交易所或不同交易所，买进或卖出不同种类，但具有某种相关性的金融期货合约的套利活动。</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不同种类的期货合约有着不同的标的资产。标的资产的不同，则期货价格及其变动也自然不同。然而，只要标的资产之间具有密切的相关关系，则它们的价格及其变动也将具有较为密切的相关关系。也就是说，虽然他们的绝对价格不同，但它们的价格变动却是同向的，甚至是同步的。所以在这些标的资产之间，以及以这些标的资产为基础的期货合约之间，就存在着一个“正常的”价格关系。当套利者了解某两种金融期货之间的“正常的”价格关系，并发现它们之间的价格关系被扭曲时，他们就可利用这两种金融期货合约做合约间的价差交易，以期在这两种合约的价格关系回复到正常状态时，可通过对冲而获取价差变动所带来的收益。</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例题：某年1月5日，同在CBOT交易的美国长期国债期货与10年期美国中期国债期货的行情：</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1969"/>
        <w:gridCol w:w="2469"/>
        <w:gridCol w:w="3663"/>
        <w:gridCol w:w="1187"/>
      </w:tblGrid>
      <w:tr w:rsidR="00481206" w:rsidRPr="00481206" w:rsidTr="00CF0F4C">
        <w:tc>
          <w:tcPr>
            <w:tcW w:w="1060" w:type="pct"/>
            <w:vAlign w:val="center"/>
          </w:tcPr>
          <w:p w:rsidR="00481206" w:rsidRPr="00481206" w:rsidRDefault="00481206" w:rsidP="00CF0F4C">
            <w:pPr>
              <w:jc w:val="center"/>
              <w:rPr>
                <w:rFonts w:ascii="宋体" w:hAnsi="宋体"/>
                <w:sz w:val="24"/>
              </w:rPr>
            </w:pPr>
            <w:r w:rsidRPr="00481206">
              <w:rPr>
                <w:rFonts w:ascii="宋体" w:hAnsi="宋体" w:hint="eastAsia"/>
                <w:sz w:val="24"/>
              </w:rPr>
              <w:t>合约月份</w:t>
            </w:r>
          </w:p>
        </w:tc>
        <w:tc>
          <w:tcPr>
            <w:tcW w:w="1329" w:type="pct"/>
            <w:vAlign w:val="center"/>
          </w:tcPr>
          <w:p w:rsidR="00481206" w:rsidRPr="00481206" w:rsidRDefault="00481206" w:rsidP="00CF0F4C">
            <w:pPr>
              <w:jc w:val="center"/>
              <w:rPr>
                <w:rFonts w:ascii="宋体" w:hAnsi="宋体"/>
                <w:sz w:val="24"/>
              </w:rPr>
            </w:pPr>
            <w:r w:rsidRPr="00481206">
              <w:rPr>
                <w:rFonts w:ascii="宋体" w:hAnsi="宋体" w:hint="eastAsia"/>
                <w:sz w:val="24"/>
              </w:rPr>
              <w:t>T-Bond期货</w:t>
            </w:r>
          </w:p>
        </w:tc>
        <w:tc>
          <w:tcPr>
            <w:tcW w:w="1972" w:type="pct"/>
            <w:vAlign w:val="center"/>
          </w:tcPr>
          <w:p w:rsidR="00481206" w:rsidRPr="00481206" w:rsidRDefault="00481206" w:rsidP="00CF0F4C">
            <w:pPr>
              <w:jc w:val="center"/>
              <w:rPr>
                <w:rFonts w:ascii="宋体" w:hAnsi="宋体"/>
                <w:sz w:val="24"/>
              </w:rPr>
            </w:pPr>
            <w:r w:rsidRPr="00481206">
              <w:rPr>
                <w:rFonts w:ascii="宋体" w:hAnsi="宋体" w:hint="eastAsia"/>
                <w:sz w:val="24"/>
              </w:rPr>
              <w:t>10年期T-note期货</w:t>
            </w:r>
          </w:p>
        </w:tc>
        <w:tc>
          <w:tcPr>
            <w:tcW w:w="639" w:type="pct"/>
            <w:vAlign w:val="center"/>
          </w:tcPr>
          <w:p w:rsidR="00481206" w:rsidRPr="00481206" w:rsidRDefault="00481206" w:rsidP="00CF0F4C">
            <w:pPr>
              <w:jc w:val="center"/>
              <w:rPr>
                <w:rFonts w:ascii="宋体" w:hAnsi="宋体"/>
                <w:sz w:val="24"/>
              </w:rPr>
            </w:pPr>
            <w:r w:rsidRPr="00481206">
              <w:rPr>
                <w:rFonts w:ascii="宋体" w:hAnsi="宋体" w:hint="eastAsia"/>
                <w:sz w:val="24"/>
              </w:rPr>
              <w:t>价差</w:t>
            </w:r>
          </w:p>
        </w:tc>
      </w:tr>
      <w:tr w:rsidR="00481206" w:rsidRPr="00481206" w:rsidTr="00CF0F4C">
        <w:tc>
          <w:tcPr>
            <w:tcW w:w="1060" w:type="pct"/>
            <w:vAlign w:val="center"/>
          </w:tcPr>
          <w:p w:rsidR="00481206" w:rsidRPr="00481206" w:rsidRDefault="00481206" w:rsidP="00CF0F4C">
            <w:pPr>
              <w:jc w:val="center"/>
              <w:rPr>
                <w:rFonts w:ascii="宋体" w:hAnsi="宋体"/>
                <w:sz w:val="24"/>
              </w:rPr>
            </w:pPr>
            <w:r w:rsidRPr="00481206">
              <w:rPr>
                <w:rFonts w:ascii="宋体" w:hAnsi="宋体" w:hint="eastAsia"/>
                <w:sz w:val="24"/>
              </w:rPr>
              <w:t>3月份</w:t>
            </w:r>
          </w:p>
        </w:tc>
        <w:tc>
          <w:tcPr>
            <w:tcW w:w="1329" w:type="pct"/>
            <w:vAlign w:val="center"/>
          </w:tcPr>
          <w:p w:rsidR="00481206" w:rsidRPr="00481206" w:rsidRDefault="00481206" w:rsidP="00CF0F4C">
            <w:pPr>
              <w:jc w:val="center"/>
              <w:rPr>
                <w:rFonts w:ascii="宋体" w:hAnsi="宋体"/>
                <w:sz w:val="24"/>
              </w:rPr>
            </w:pPr>
            <w:r w:rsidRPr="00481206">
              <w:rPr>
                <w:rFonts w:ascii="宋体" w:hAnsi="宋体" w:hint="eastAsia"/>
                <w:sz w:val="24"/>
              </w:rPr>
              <w:t>99-12</w:t>
            </w:r>
          </w:p>
        </w:tc>
        <w:tc>
          <w:tcPr>
            <w:tcW w:w="1972" w:type="pct"/>
            <w:vAlign w:val="center"/>
          </w:tcPr>
          <w:p w:rsidR="00481206" w:rsidRPr="00481206" w:rsidRDefault="00481206" w:rsidP="00CF0F4C">
            <w:pPr>
              <w:jc w:val="center"/>
              <w:rPr>
                <w:rFonts w:ascii="宋体" w:hAnsi="宋体"/>
                <w:sz w:val="24"/>
              </w:rPr>
            </w:pPr>
            <w:r w:rsidRPr="00481206">
              <w:rPr>
                <w:rFonts w:ascii="宋体" w:hAnsi="宋体" w:hint="eastAsia"/>
                <w:sz w:val="24"/>
              </w:rPr>
              <w:t>100-02</w:t>
            </w:r>
          </w:p>
        </w:tc>
        <w:tc>
          <w:tcPr>
            <w:tcW w:w="639" w:type="pct"/>
            <w:vAlign w:val="center"/>
          </w:tcPr>
          <w:p w:rsidR="00481206" w:rsidRPr="00481206" w:rsidRDefault="00481206" w:rsidP="00CF0F4C">
            <w:pPr>
              <w:jc w:val="center"/>
              <w:rPr>
                <w:rFonts w:ascii="宋体" w:hAnsi="宋体"/>
                <w:sz w:val="24"/>
              </w:rPr>
            </w:pPr>
            <w:r w:rsidRPr="00481206">
              <w:rPr>
                <w:rFonts w:ascii="宋体" w:hAnsi="宋体" w:hint="eastAsia"/>
                <w:sz w:val="24"/>
              </w:rPr>
              <w:t>0-22</w:t>
            </w:r>
          </w:p>
        </w:tc>
      </w:tr>
      <w:tr w:rsidR="00481206" w:rsidRPr="00481206" w:rsidTr="00CF0F4C">
        <w:tc>
          <w:tcPr>
            <w:tcW w:w="1060" w:type="pct"/>
            <w:vAlign w:val="center"/>
          </w:tcPr>
          <w:p w:rsidR="00481206" w:rsidRPr="00481206" w:rsidRDefault="00481206" w:rsidP="00CF0F4C">
            <w:pPr>
              <w:jc w:val="center"/>
              <w:rPr>
                <w:rFonts w:ascii="宋体" w:hAnsi="宋体"/>
                <w:sz w:val="24"/>
              </w:rPr>
            </w:pPr>
            <w:r w:rsidRPr="00481206">
              <w:rPr>
                <w:rFonts w:ascii="宋体" w:hAnsi="宋体" w:hint="eastAsia"/>
                <w:sz w:val="24"/>
              </w:rPr>
              <w:t>6月份</w:t>
            </w:r>
          </w:p>
        </w:tc>
        <w:tc>
          <w:tcPr>
            <w:tcW w:w="1329" w:type="pct"/>
            <w:vAlign w:val="center"/>
          </w:tcPr>
          <w:p w:rsidR="00481206" w:rsidRPr="00481206" w:rsidRDefault="00481206" w:rsidP="00CF0F4C">
            <w:pPr>
              <w:jc w:val="center"/>
              <w:rPr>
                <w:rFonts w:ascii="宋体" w:hAnsi="宋体"/>
                <w:sz w:val="24"/>
              </w:rPr>
            </w:pPr>
            <w:r w:rsidRPr="00481206">
              <w:rPr>
                <w:rFonts w:ascii="宋体" w:hAnsi="宋体" w:hint="eastAsia"/>
                <w:sz w:val="24"/>
              </w:rPr>
              <w:t>99-04</w:t>
            </w:r>
          </w:p>
        </w:tc>
        <w:tc>
          <w:tcPr>
            <w:tcW w:w="1972" w:type="pct"/>
            <w:vAlign w:val="center"/>
          </w:tcPr>
          <w:p w:rsidR="00481206" w:rsidRPr="00481206" w:rsidRDefault="00481206" w:rsidP="00CF0F4C">
            <w:pPr>
              <w:jc w:val="center"/>
              <w:rPr>
                <w:rFonts w:ascii="宋体" w:hAnsi="宋体"/>
                <w:sz w:val="24"/>
              </w:rPr>
            </w:pPr>
            <w:r w:rsidRPr="00481206">
              <w:rPr>
                <w:rFonts w:ascii="宋体" w:hAnsi="宋体" w:hint="eastAsia"/>
                <w:sz w:val="24"/>
              </w:rPr>
              <w:t>99-21</w:t>
            </w:r>
          </w:p>
        </w:tc>
        <w:tc>
          <w:tcPr>
            <w:tcW w:w="639" w:type="pct"/>
            <w:vAlign w:val="center"/>
          </w:tcPr>
          <w:p w:rsidR="00481206" w:rsidRPr="00481206" w:rsidRDefault="00481206" w:rsidP="00CF0F4C">
            <w:pPr>
              <w:jc w:val="center"/>
              <w:rPr>
                <w:rFonts w:ascii="宋体" w:hAnsi="宋体"/>
                <w:sz w:val="24"/>
              </w:rPr>
            </w:pPr>
            <w:r w:rsidRPr="00481206">
              <w:rPr>
                <w:rFonts w:ascii="宋体" w:hAnsi="宋体" w:hint="eastAsia"/>
                <w:sz w:val="24"/>
              </w:rPr>
              <w:t>0-17</w:t>
            </w:r>
          </w:p>
        </w:tc>
      </w:tr>
      <w:tr w:rsidR="00481206" w:rsidRPr="00481206" w:rsidTr="00CF0F4C">
        <w:tc>
          <w:tcPr>
            <w:tcW w:w="1060" w:type="pct"/>
            <w:vAlign w:val="center"/>
          </w:tcPr>
          <w:p w:rsidR="00481206" w:rsidRPr="00481206" w:rsidRDefault="00481206" w:rsidP="00CF0F4C">
            <w:pPr>
              <w:jc w:val="center"/>
              <w:rPr>
                <w:rFonts w:ascii="宋体" w:hAnsi="宋体"/>
                <w:sz w:val="24"/>
              </w:rPr>
            </w:pPr>
            <w:r w:rsidRPr="00481206">
              <w:rPr>
                <w:rFonts w:ascii="宋体" w:hAnsi="宋体" w:hint="eastAsia"/>
                <w:sz w:val="24"/>
              </w:rPr>
              <w:t>9月份</w:t>
            </w:r>
          </w:p>
        </w:tc>
        <w:tc>
          <w:tcPr>
            <w:tcW w:w="1329" w:type="pct"/>
            <w:vAlign w:val="center"/>
          </w:tcPr>
          <w:p w:rsidR="00481206" w:rsidRPr="00481206" w:rsidRDefault="00481206" w:rsidP="00CF0F4C">
            <w:pPr>
              <w:jc w:val="center"/>
              <w:rPr>
                <w:rFonts w:ascii="宋体" w:hAnsi="宋体"/>
                <w:sz w:val="24"/>
              </w:rPr>
            </w:pPr>
            <w:r w:rsidRPr="00481206">
              <w:rPr>
                <w:rFonts w:ascii="宋体" w:hAnsi="宋体" w:hint="eastAsia"/>
                <w:sz w:val="24"/>
              </w:rPr>
              <w:t>98-29</w:t>
            </w:r>
          </w:p>
        </w:tc>
        <w:tc>
          <w:tcPr>
            <w:tcW w:w="1972" w:type="pct"/>
            <w:vAlign w:val="center"/>
          </w:tcPr>
          <w:p w:rsidR="00481206" w:rsidRPr="00481206" w:rsidRDefault="00481206" w:rsidP="00CF0F4C">
            <w:pPr>
              <w:jc w:val="center"/>
              <w:rPr>
                <w:rFonts w:ascii="宋体" w:hAnsi="宋体"/>
                <w:sz w:val="24"/>
              </w:rPr>
            </w:pPr>
            <w:r w:rsidRPr="00481206">
              <w:rPr>
                <w:rFonts w:ascii="宋体" w:hAnsi="宋体" w:hint="eastAsia"/>
                <w:sz w:val="24"/>
              </w:rPr>
              <w:t>99-14</w:t>
            </w:r>
          </w:p>
        </w:tc>
        <w:tc>
          <w:tcPr>
            <w:tcW w:w="639" w:type="pct"/>
            <w:vAlign w:val="center"/>
          </w:tcPr>
          <w:p w:rsidR="00481206" w:rsidRPr="00481206" w:rsidRDefault="00481206" w:rsidP="00CF0F4C">
            <w:pPr>
              <w:jc w:val="center"/>
              <w:rPr>
                <w:rFonts w:ascii="宋体" w:hAnsi="宋体"/>
                <w:sz w:val="24"/>
              </w:rPr>
            </w:pPr>
            <w:r w:rsidRPr="00481206">
              <w:rPr>
                <w:rFonts w:ascii="宋体" w:hAnsi="宋体" w:hint="eastAsia"/>
                <w:sz w:val="24"/>
              </w:rPr>
              <w:t>0-17</w:t>
            </w:r>
          </w:p>
        </w:tc>
      </w:tr>
    </w:tbl>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从上表可以看出，T-bond期货和T-note期货的价差在3月份最大。某投资者认为，这一价差不合理。因此，他预期经过一段时间后，这一价差将缩小。于是，他买进3月份的T-bond期货，同时卖出3月份的T-note期货。</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到3月10日，T-bond期货价格上至99-23（上涨了0-11），而T-note期货的价格涨了100-09（上涨了0-07）。投资者通过对冲T-bond期货而获得343.75美元（=31.25美元*11），同时他对冲T-note期货而损失218.75美元（31.25美元*7）。两相抵消后，</w:t>
      </w:r>
      <w:r w:rsidRPr="00481206">
        <w:rPr>
          <w:rFonts w:ascii="宋体" w:hAnsi="宋体" w:hint="eastAsia"/>
          <w:sz w:val="24"/>
        </w:rPr>
        <w:lastRenderedPageBreak/>
        <w:t>投资者还可在交易中获净利125美元（忽略所有的成本）。</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可见，在合约间价差交易中，如果投资者发现两种金融期货合约的合约之间的价差大于其正常的水平，从而预期此价差将缩小，他只要买进被低估的合约，同时卖出高估合约，随着价差的缩小和两部位的对冲，他总可获得相应的利润；相反，如果投资者发现两种金融期货合约之间的价差小于其正常的价差，从而预期此价差将扩大，他也只要买进被低估的合约，卖出被高估的合约，则随着价差的扩大和两部位的对冲，他也可以获得相应的利润。</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三、市场间价差</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所谓“市场间价差”，是指投资者在不同交易所同时买进和卖出相同交割月份的同种金融期货合约或类似金融期货合约，以赚取价差收益的套利行为。</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例题：在某年5月8日，欧洲美元期货的行情如下表所示：</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2797"/>
        <w:gridCol w:w="1798"/>
        <w:gridCol w:w="2038"/>
        <w:gridCol w:w="2655"/>
      </w:tblGrid>
      <w:tr w:rsidR="00481206" w:rsidRPr="00481206" w:rsidTr="00CF0F4C">
        <w:tc>
          <w:tcPr>
            <w:tcW w:w="1506" w:type="pct"/>
            <w:vAlign w:val="center"/>
          </w:tcPr>
          <w:p w:rsidR="00481206" w:rsidRPr="00481206" w:rsidRDefault="00481206" w:rsidP="00CF0F4C">
            <w:pPr>
              <w:jc w:val="center"/>
              <w:rPr>
                <w:rFonts w:ascii="宋体" w:hAnsi="宋体"/>
                <w:sz w:val="24"/>
              </w:rPr>
            </w:pPr>
            <w:r w:rsidRPr="00481206">
              <w:rPr>
                <w:rFonts w:ascii="宋体" w:hAnsi="宋体" w:hint="eastAsia"/>
                <w:sz w:val="24"/>
              </w:rPr>
              <w:t>合约月份</w:t>
            </w:r>
          </w:p>
        </w:tc>
        <w:tc>
          <w:tcPr>
            <w:tcW w:w="968" w:type="pct"/>
            <w:vAlign w:val="center"/>
          </w:tcPr>
          <w:p w:rsidR="00481206" w:rsidRPr="00481206" w:rsidRDefault="00481206" w:rsidP="00CF0F4C">
            <w:pPr>
              <w:jc w:val="center"/>
              <w:rPr>
                <w:rFonts w:ascii="宋体" w:hAnsi="宋体"/>
                <w:sz w:val="24"/>
              </w:rPr>
            </w:pPr>
            <w:r w:rsidRPr="00481206">
              <w:rPr>
                <w:rFonts w:ascii="宋体" w:hAnsi="宋体" w:hint="eastAsia"/>
                <w:sz w:val="24"/>
              </w:rPr>
              <w:t>IMM</w:t>
            </w:r>
          </w:p>
        </w:tc>
        <w:tc>
          <w:tcPr>
            <w:tcW w:w="1097" w:type="pct"/>
            <w:vAlign w:val="center"/>
          </w:tcPr>
          <w:p w:rsidR="00481206" w:rsidRPr="00481206" w:rsidRDefault="00481206" w:rsidP="00CF0F4C">
            <w:pPr>
              <w:jc w:val="center"/>
              <w:rPr>
                <w:rFonts w:ascii="宋体" w:hAnsi="宋体"/>
                <w:sz w:val="24"/>
              </w:rPr>
            </w:pPr>
            <w:r w:rsidRPr="00481206">
              <w:rPr>
                <w:rFonts w:ascii="宋体" w:hAnsi="宋体" w:hint="eastAsia"/>
                <w:sz w:val="24"/>
              </w:rPr>
              <w:t>LIFFE</w:t>
            </w:r>
          </w:p>
        </w:tc>
        <w:tc>
          <w:tcPr>
            <w:tcW w:w="1429" w:type="pct"/>
            <w:vAlign w:val="center"/>
          </w:tcPr>
          <w:p w:rsidR="00481206" w:rsidRPr="00481206" w:rsidRDefault="00481206" w:rsidP="00CF0F4C">
            <w:pPr>
              <w:jc w:val="center"/>
              <w:rPr>
                <w:rFonts w:ascii="宋体" w:hAnsi="宋体"/>
                <w:sz w:val="24"/>
              </w:rPr>
            </w:pPr>
            <w:r w:rsidRPr="00481206">
              <w:rPr>
                <w:rFonts w:ascii="宋体" w:hAnsi="宋体" w:hint="eastAsia"/>
                <w:sz w:val="24"/>
              </w:rPr>
              <w:t>价差</w:t>
            </w:r>
          </w:p>
        </w:tc>
      </w:tr>
      <w:tr w:rsidR="00481206" w:rsidRPr="00481206" w:rsidTr="00CF0F4C">
        <w:tc>
          <w:tcPr>
            <w:tcW w:w="1506" w:type="pct"/>
            <w:vAlign w:val="center"/>
          </w:tcPr>
          <w:p w:rsidR="00481206" w:rsidRPr="00481206" w:rsidRDefault="00481206" w:rsidP="00CF0F4C">
            <w:pPr>
              <w:jc w:val="center"/>
              <w:rPr>
                <w:rFonts w:ascii="宋体" w:hAnsi="宋体"/>
                <w:sz w:val="24"/>
              </w:rPr>
            </w:pPr>
            <w:r w:rsidRPr="00481206">
              <w:rPr>
                <w:rFonts w:ascii="宋体" w:hAnsi="宋体" w:hint="eastAsia"/>
                <w:sz w:val="24"/>
              </w:rPr>
              <w:t>6月份</w:t>
            </w:r>
          </w:p>
        </w:tc>
        <w:tc>
          <w:tcPr>
            <w:tcW w:w="968" w:type="pct"/>
            <w:vAlign w:val="center"/>
          </w:tcPr>
          <w:p w:rsidR="00481206" w:rsidRPr="00481206" w:rsidRDefault="00481206" w:rsidP="00CF0F4C">
            <w:pPr>
              <w:jc w:val="center"/>
              <w:rPr>
                <w:rFonts w:ascii="宋体" w:hAnsi="宋体"/>
                <w:sz w:val="24"/>
              </w:rPr>
            </w:pPr>
            <w:r w:rsidRPr="00481206">
              <w:rPr>
                <w:rFonts w:ascii="宋体" w:hAnsi="宋体" w:hint="eastAsia"/>
                <w:sz w:val="24"/>
              </w:rPr>
              <w:t>87.20</w:t>
            </w:r>
          </w:p>
        </w:tc>
        <w:tc>
          <w:tcPr>
            <w:tcW w:w="1097" w:type="pct"/>
            <w:vAlign w:val="center"/>
          </w:tcPr>
          <w:p w:rsidR="00481206" w:rsidRPr="00481206" w:rsidRDefault="00481206" w:rsidP="00CF0F4C">
            <w:pPr>
              <w:jc w:val="center"/>
              <w:rPr>
                <w:rFonts w:ascii="宋体" w:hAnsi="宋体"/>
                <w:sz w:val="24"/>
              </w:rPr>
            </w:pPr>
            <w:r w:rsidRPr="00481206">
              <w:rPr>
                <w:rFonts w:ascii="宋体" w:hAnsi="宋体" w:hint="eastAsia"/>
                <w:sz w:val="24"/>
              </w:rPr>
              <w:t>87.21</w:t>
            </w:r>
          </w:p>
        </w:tc>
        <w:tc>
          <w:tcPr>
            <w:tcW w:w="1429" w:type="pct"/>
            <w:vAlign w:val="center"/>
          </w:tcPr>
          <w:p w:rsidR="00481206" w:rsidRPr="00481206" w:rsidRDefault="00481206" w:rsidP="00CF0F4C">
            <w:pPr>
              <w:jc w:val="center"/>
              <w:rPr>
                <w:rFonts w:ascii="宋体" w:hAnsi="宋体"/>
                <w:sz w:val="24"/>
              </w:rPr>
            </w:pPr>
            <w:r w:rsidRPr="00481206">
              <w:rPr>
                <w:rFonts w:ascii="宋体" w:hAnsi="宋体" w:hint="eastAsia"/>
                <w:sz w:val="24"/>
              </w:rPr>
              <w:t>1个基点</w:t>
            </w:r>
          </w:p>
        </w:tc>
      </w:tr>
      <w:tr w:rsidR="00481206" w:rsidRPr="00481206" w:rsidTr="00CF0F4C">
        <w:tc>
          <w:tcPr>
            <w:tcW w:w="1506" w:type="pct"/>
            <w:vAlign w:val="center"/>
          </w:tcPr>
          <w:p w:rsidR="00481206" w:rsidRPr="00481206" w:rsidRDefault="00481206" w:rsidP="00CF0F4C">
            <w:pPr>
              <w:jc w:val="center"/>
              <w:rPr>
                <w:rFonts w:ascii="宋体" w:hAnsi="宋体"/>
                <w:sz w:val="24"/>
              </w:rPr>
            </w:pPr>
            <w:r w:rsidRPr="00481206">
              <w:rPr>
                <w:rFonts w:ascii="宋体" w:hAnsi="宋体" w:hint="eastAsia"/>
                <w:sz w:val="24"/>
              </w:rPr>
              <w:t>9月份</w:t>
            </w:r>
          </w:p>
        </w:tc>
        <w:tc>
          <w:tcPr>
            <w:tcW w:w="968" w:type="pct"/>
            <w:vAlign w:val="center"/>
          </w:tcPr>
          <w:p w:rsidR="00481206" w:rsidRPr="00481206" w:rsidRDefault="00481206" w:rsidP="00CF0F4C">
            <w:pPr>
              <w:jc w:val="center"/>
              <w:rPr>
                <w:rFonts w:ascii="宋体" w:hAnsi="宋体"/>
                <w:sz w:val="24"/>
              </w:rPr>
            </w:pPr>
            <w:r w:rsidRPr="00481206">
              <w:rPr>
                <w:rFonts w:ascii="宋体" w:hAnsi="宋体" w:hint="eastAsia"/>
                <w:sz w:val="24"/>
              </w:rPr>
              <w:t>87.30</w:t>
            </w:r>
          </w:p>
        </w:tc>
        <w:tc>
          <w:tcPr>
            <w:tcW w:w="1097" w:type="pct"/>
            <w:vAlign w:val="center"/>
          </w:tcPr>
          <w:p w:rsidR="00481206" w:rsidRPr="00481206" w:rsidRDefault="00481206" w:rsidP="00CF0F4C">
            <w:pPr>
              <w:jc w:val="center"/>
              <w:rPr>
                <w:rFonts w:ascii="宋体" w:hAnsi="宋体"/>
                <w:sz w:val="24"/>
              </w:rPr>
            </w:pPr>
            <w:r w:rsidRPr="00481206">
              <w:rPr>
                <w:rFonts w:ascii="宋体" w:hAnsi="宋体" w:hint="eastAsia"/>
                <w:sz w:val="24"/>
              </w:rPr>
              <w:t>87.32</w:t>
            </w:r>
          </w:p>
        </w:tc>
        <w:tc>
          <w:tcPr>
            <w:tcW w:w="1429" w:type="pct"/>
            <w:vAlign w:val="center"/>
          </w:tcPr>
          <w:p w:rsidR="00481206" w:rsidRPr="00481206" w:rsidRDefault="00481206" w:rsidP="00CF0F4C">
            <w:pPr>
              <w:jc w:val="center"/>
              <w:rPr>
                <w:rFonts w:ascii="宋体" w:hAnsi="宋体"/>
                <w:sz w:val="24"/>
              </w:rPr>
            </w:pPr>
            <w:r w:rsidRPr="00481206">
              <w:rPr>
                <w:rFonts w:ascii="宋体" w:hAnsi="宋体" w:hint="eastAsia"/>
                <w:sz w:val="24"/>
              </w:rPr>
              <w:t>2个基点</w:t>
            </w:r>
          </w:p>
        </w:tc>
      </w:tr>
      <w:tr w:rsidR="00481206" w:rsidRPr="00481206" w:rsidTr="00CF0F4C">
        <w:tc>
          <w:tcPr>
            <w:tcW w:w="1506" w:type="pct"/>
            <w:vAlign w:val="center"/>
          </w:tcPr>
          <w:p w:rsidR="00481206" w:rsidRPr="00481206" w:rsidRDefault="00481206" w:rsidP="00CF0F4C">
            <w:pPr>
              <w:jc w:val="center"/>
              <w:rPr>
                <w:rFonts w:ascii="宋体" w:hAnsi="宋体"/>
                <w:sz w:val="24"/>
              </w:rPr>
            </w:pPr>
            <w:r w:rsidRPr="00481206">
              <w:rPr>
                <w:rFonts w:ascii="宋体" w:hAnsi="宋体" w:hint="eastAsia"/>
                <w:sz w:val="24"/>
              </w:rPr>
              <w:t>12月份</w:t>
            </w:r>
          </w:p>
        </w:tc>
        <w:tc>
          <w:tcPr>
            <w:tcW w:w="968" w:type="pct"/>
            <w:vAlign w:val="center"/>
          </w:tcPr>
          <w:p w:rsidR="00481206" w:rsidRPr="00481206" w:rsidRDefault="00481206" w:rsidP="00CF0F4C">
            <w:pPr>
              <w:jc w:val="center"/>
              <w:rPr>
                <w:rFonts w:ascii="宋体" w:hAnsi="宋体"/>
                <w:sz w:val="24"/>
              </w:rPr>
            </w:pPr>
            <w:r w:rsidRPr="00481206">
              <w:rPr>
                <w:rFonts w:ascii="宋体" w:hAnsi="宋体" w:hint="eastAsia"/>
                <w:sz w:val="24"/>
              </w:rPr>
              <w:t>87.32</w:t>
            </w:r>
          </w:p>
        </w:tc>
        <w:tc>
          <w:tcPr>
            <w:tcW w:w="1097" w:type="pct"/>
            <w:vAlign w:val="center"/>
          </w:tcPr>
          <w:p w:rsidR="00481206" w:rsidRPr="00481206" w:rsidRDefault="00481206" w:rsidP="00CF0F4C">
            <w:pPr>
              <w:jc w:val="center"/>
              <w:rPr>
                <w:rFonts w:ascii="宋体" w:hAnsi="宋体"/>
                <w:sz w:val="24"/>
              </w:rPr>
            </w:pPr>
            <w:r w:rsidRPr="00481206">
              <w:rPr>
                <w:rFonts w:ascii="宋体" w:hAnsi="宋体" w:hint="eastAsia"/>
                <w:sz w:val="24"/>
              </w:rPr>
              <w:t>87.4</w:t>
            </w:r>
          </w:p>
        </w:tc>
        <w:tc>
          <w:tcPr>
            <w:tcW w:w="1429" w:type="pct"/>
            <w:vAlign w:val="center"/>
          </w:tcPr>
          <w:p w:rsidR="00481206" w:rsidRPr="00481206" w:rsidRDefault="00481206" w:rsidP="00CF0F4C">
            <w:pPr>
              <w:jc w:val="center"/>
              <w:rPr>
                <w:rFonts w:ascii="宋体" w:hAnsi="宋体"/>
                <w:sz w:val="24"/>
              </w:rPr>
            </w:pPr>
            <w:r w:rsidRPr="00481206">
              <w:rPr>
                <w:rFonts w:ascii="宋体" w:hAnsi="宋体" w:hint="eastAsia"/>
                <w:sz w:val="24"/>
              </w:rPr>
              <w:t>8个基点</w:t>
            </w:r>
          </w:p>
        </w:tc>
      </w:tr>
    </w:tbl>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如表所示，同样是12月份到期的欧洲美元期货，在LIFFE的价格比在IMM的价格高出8个基点，于是投资者纷纷买进IMM合约，同时卖出LIFFE合约，这种套利行为使IMM需求增加，LIFFE的供给增加，因此IMM的价格上升，而LIFFE的价格下跌，两市场的价差被缩小。投资者通过对冲可在两个市场中获利。如果这种套利活动使两个市场的价格趋于一致，即使原有的价差全部消除，则套利者在这两个市场上共可获利200美元（25*8）。</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在市场间价差套利中，投资者在两个市场所买进和卖出的也不一定是完全相同的期货。只要这两种金融期货合约比较类似，则投资者也可作这种形式的套利交易。另外，在市场间价差套利中，两个不同的市场既可在同一个国家，也可在不同的国家。如果市场在不同的国家，而合约又以不同货币计价，则这种套利就比较复杂。因为在这种套利中，投资者既要考虑两种合约的价差及其变动，又要考虑两种货币间汇率及其变动。如果汇率的变动估计不足或者估计错误，则投资者将面临严重的汇率风险。如果因汇率变动而造成的损失超过因价差变动所带来的利润，则套利者将得不偿失。仅从这一点来看，我们也可以看出，套利并非在任何情况下都可无风险的获利。</w:t>
      </w:r>
    </w:p>
    <w:p w:rsidR="00481206" w:rsidRPr="00481206" w:rsidRDefault="00481206" w:rsidP="00481206">
      <w:pPr>
        <w:spacing w:line="360" w:lineRule="auto"/>
        <w:jc w:val="center"/>
        <w:rPr>
          <w:rFonts w:ascii="宋体" w:hAnsi="宋体"/>
          <w:bCs/>
          <w:sz w:val="24"/>
        </w:rPr>
      </w:pPr>
      <w:r w:rsidRPr="00481206">
        <w:rPr>
          <w:rFonts w:ascii="宋体" w:hAnsi="宋体" w:hint="eastAsia"/>
          <w:bCs/>
          <w:sz w:val="24"/>
        </w:rPr>
        <w:t>第四节 金融期货的投机策略</w:t>
      </w:r>
    </w:p>
    <w:p w:rsidR="00481206" w:rsidRPr="00481206" w:rsidRDefault="00481206" w:rsidP="00481206">
      <w:pPr>
        <w:spacing w:line="360" w:lineRule="auto"/>
        <w:ind w:firstLineChars="200" w:firstLine="480"/>
        <w:outlineLvl w:val="0"/>
        <w:rPr>
          <w:rFonts w:ascii="宋体" w:hAnsi="宋体"/>
          <w:sz w:val="24"/>
        </w:rPr>
      </w:pPr>
      <w:bookmarkStart w:id="711" w:name="_Toc444350351"/>
      <w:bookmarkStart w:id="712" w:name="_Toc474271826"/>
      <w:r w:rsidRPr="00481206">
        <w:rPr>
          <w:rFonts w:ascii="宋体" w:hAnsi="宋体" w:hint="eastAsia"/>
          <w:sz w:val="24"/>
        </w:rPr>
        <w:t>一、金融期货的多头投机</w:t>
      </w:r>
      <w:bookmarkEnd w:id="711"/>
      <w:bookmarkEnd w:id="712"/>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lastRenderedPageBreak/>
        <w:t>所谓多头投机，是指投机者预期某种金融期货的市场价格将上涨，从而买进期货，以期在市场价格上涨后通过对冲而获利的交易策略。</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例题：某年2月10日，在IMM交易的3月份英镑期货（交易单位为62500英镑）的价格为1英镑兑换1.5520美元，某投机者预期该期货价格将上涨，于是他以该价格买进40份3月到期的英镑期。</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在买进英镑期货后，该投资者将面临如下三种情况：一是期货价格上涨，投机者获利；二是期货价格不变，投资者不盈不亏；三是期货价格下跌，投机者亏损。下面我们具体说明：</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第一，在3月10日，3月份到期的英镑期货价格涨至1.5720，该投机者通过平仓可获利5000美元，即：</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62500*（1.5720-1.5520）*40=5000美元</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第二，在3月10日，3月份到期的英镑期货价格仍为1.5520，则该投机者不赢不亏。</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第三，在3月10日，3月份到期的英镑期货价格为1.5320，则该投机者平仓将亏损5000美元，即：</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62500*（1.5320-1.5520）*40=-5000美元</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由此可见，一旦投机者建立了多头部位，其盈亏状况将完全取决于期货市场价格的变动方向和幅度。若市场价格上涨，则投机者可盈利，市场价格涨的越高，投机者获利越多。反之，若市场价格下跌，则投机者将亏损。市场价格跌的越低，投机者亏损越多。这就说明，金融期货的投机实际上是建立了一个风险暴露部位，而这暴露部位的风险正好是对称的。</w:t>
      </w:r>
    </w:p>
    <w:p w:rsidR="00481206" w:rsidRPr="00481206" w:rsidRDefault="00481206" w:rsidP="00481206">
      <w:pPr>
        <w:spacing w:line="360" w:lineRule="auto"/>
        <w:ind w:firstLineChars="200" w:firstLine="480"/>
        <w:outlineLvl w:val="0"/>
        <w:rPr>
          <w:rFonts w:ascii="宋体" w:hAnsi="宋体"/>
          <w:sz w:val="24"/>
        </w:rPr>
      </w:pPr>
      <w:bookmarkStart w:id="713" w:name="_Toc444350352"/>
      <w:bookmarkStart w:id="714" w:name="_Toc474271827"/>
      <w:r w:rsidRPr="00481206">
        <w:rPr>
          <w:rFonts w:ascii="宋体" w:hAnsi="宋体" w:hint="eastAsia"/>
          <w:sz w:val="24"/>
        </w:rPr>
        <w:t>二、金融期货的空头投机</w:t>
      </w:r>
      <w:bookmarkEnd w:id="713"/>
      <w:bookmarkEnd w:id="714"/>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所谓空头投机，则是指投机者预期某种金融期货的市场价格将下跌，从而卖出期货，以期在市场价格下跌后通过对冲而获利的交易策略。</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例题：在某年11月2日，CBOT主要市场指数期货的市场价格为472，某投机者预期该指数期货的市场价格将下跌。于是，他以472的价格卖出20张12月份到期的主要市场指数期货合约。</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第一，如果市场价格下跌，则投机者可获利。比如市场价格下跌至456时，他可获利80000美元，即：</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（472-456）*250*20=80000美元</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lastRenderedPageBreak/>
        <w:t>第二，如果市场价格不变，投机者不赢不亏。</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第三，如果市场价格上涨，该投机者将受到亏损。比如市场价格上涨到488时，投机者将损失80000美元，即：</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（472-488）*250*20=-80000美元</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因此，当投机者建立了空头部位后，若市场价格下跌，则投机者可获利。市场价格跌的越低，投机者获利越多。反之，若市场价格上涨，则投机者将受损。市场价格涨的越高，投机者受损越多。</w:t>
      </w:r>
    </w:p>
    <w:p w:rsidR="00481206" w:rsidRPr="00481206" w:rsidRDefault="00481206" w:rsidP="00481206">
      <w:pPr>
        <w:spacing w:line="360" w:lineRule="auto"/>
        <w:ind w:firstLineChars="200" w:firstLine="480"/>
        <w:outlineLvl w:val="0"/>
        <w:rPr>
          <w:rFonts w:ascii="宋体" w:hAnsi="宋体"/>
          <w:sz w:val="24"/>
        </w:rPr>
      </w:pPr>
      <w:bookmarkStart w:id="715" w:name="_Toc444350353"/>
      <w:bookmarkStart w:id="716" w:name="_Toc474271828"/>
      <w:r w:rsidRPr="00481206">
        <w:rPr>
          <w:rFonts w:ascii="宋体" w:hAnsi="宋体" w:hint="eastAsia"/>
          <w:sz w:val="24"/>
        </w:rPr>
        <w:t>三、金融期货的风险防范</w:t>
      </w:r>
      <w:bookmarkEnd w:id="715"/>
      <w:bookmarkEnd w:id="716"/>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第一、准备预测金融期货价格的变动，慎重作出交易的决策；</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第二，对获利的期望应适可而止，切忌贪得无厌；</w:t>
      </w:r>
    </w:p>
    <w:p w:rsidR="00481206" w:rsidRPr="00481206" w:rsidRDefault="00481206" w:rsidP="00481206">
      <w:pPr>
        <w:spacing w:line="360" w:lineRule="auto"/>
        <w:ind w:firstLine="480"/>
        <w:rPr>
          <w:rFonts w:ascii="宋体" w:hAnsi="宋体"/>
          <w:sz w:val="24"/>
        </w:rPr>
      </w:pPr>
      <w:r w:rsidRPr="00481206">
        <w:rPr>
          <w:rFonts w:ascii="宋体" w:hAnsi="宋体" w:hint="eastAsia"/>
          <w:sz w:val="24"/>
        </w:rPr>
        <w:t>第三，正确运用停损定单，保住既得利润，避免更大损失。</w:t>
      </w:r>
    </w:p>
    <w:p w:rsidR="00481206" w:rsidRPr="00481206" w:rsidRDefault="00481206" w:rsidP="00481206">
      <w:pPr>
        <w:spacing w:line="360" w:lineRule="auto"/>
        <w:ind w:firstLineChars="200" w:firstLine="480"/>
        <w:outlineLvl w:val="1"/>
        <w:rPr>
          <w:rFonts w:ascii="宋体" w:hAnsi="宋体" w:cs="宋体"/>
          <w:sz w:val="24"/>
        </w:rPr>
      </w:pPr>
      <w:bookmarkStart w:id="717" w:name="_Toc430424025"/>
      <w:bookmarkStart w:id="718" w:name="_Toc444350354"/>
      <w:bookmarkStart w:id="719" w:name="_Toc474271829"/>
      <w:bookmarkEnd w:id="696"/>
      <w:r w:rsidRPr="00481206">
        <w:rPr>
          <w:rFonts w:ascii="宋体" w:hAnsi="宋体" w:cs="宋体" w:hint="eastAsia"/>
          <w:bCs/>
          <w:sz w:val="24"/>
        </w:rPr>
        <w:t>7.6.5教学方法</w:t>
      </w:r>
      <w:bookmarkEnd w:id="717"/>
      <w:bookmarkEnd w:id="718"/>
      <w:bookmarkEnd w:id="719"/>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720" w:name="_Toc430424026"/>
      <w:bookmarkStart w:id="721" w:name="_Toc444350355"/>
      <w:bookmarkStart w:id="722" w:name="_Toc474271830"/>
      <w:r w:rsidRPr="00481206">
        <w:rPr>
          <w:rFonts w:ascii="宋体" w:hAnsi="宋体" w:cs="宋体" w:hint="eastAsia"/>
          <w:sz w:val="24"/>
        </w:rPr>
        <w:t>课堂讲授；设问；案例分析。</w:t>
      </w:r>
      <w:bookmarkEnd w:id="720"/>
      <w:bookmarkEnd w:id="721"/>
      <w:bookmarkEnd w:id="722"/>
    </w:p>
    <w:p w:rsidR="00481206" w:rsidRPr="00481206" w:rsidRDefault="00481206" w:rsidP="00481206">
      <w:pPr>
        <w:spacing w:line="360" w:lineRule="auto"/>
        <w:ind w:firstLine="480"/>
        <w:outlineLvl w:val="1"/>
        <w:rPr>
          <w:rFonts w:ascii="宋体" w:hAnsi="宋体" w:cs="宋体"/>
          <w:sz w:val="24"/>
        </w:rPr>
      </w:pPr>
      <w:bookmarkStart w:id="723" w:name="_Toc430424027"/>
      <w:bookmarkStart w:id="724" w:name="_Toc444350356"/>
      <w:bookmarkStart w:id="725" w:name="_Toc474271831"/>
      <w:r w:rsidRPr="00481206">
        <w:rPr>
          <w:rFonts w:ascii="宋体" w:hAnsi="宋体" w:cs="宋体" w:hint="eastAsia"/>
          <w:bCs/>
          <w:sz w:val="24"/>
        </w:rPr>
        <w:t>7.6.6单元作业安排及课后反思</w:t>
      </w:r>
      <w:bookmarkEnd w:id="723"/>
      <w:bookmarkEnd w:id="724"/>
      <w:bookmarkEnd w:id="725"/>
      <w:r w:rsidRPr="00481206">
        <w:rPr>
          <w:rFonts w:ascii="宋体" w:hAnsi="宋体" w:cs="宋体" w:hint="eastAsia"/>
          <w:sz w:val="24"/>
        </w:rPr>
        <w:tab/>
      </w:r>
    </w:p>
    <w:p w:rsidR="00481206" w:rsidRPr="00481206" w:rsidRDefault="00481206" w:rsidP="00481206">
      <w:pPr>
        <w:widowControl/>
        <w:spacing w:line="360" w:lineRule="auto"/>
        <w:ind w:firstLineChars="200" w:firstLine="480"/>
        <w:jc w:val="left"/>
        <w:rPr>
          <w:rFonts w:ascii="宋体" w:hAnsi="宋体" w:cs="宋体"/>
          <w:kern w:val="0"/>
          <w:sz w:val="24"/>
        </w:rPr>
      </w:pPr>
      <w:r w:rsidRPr="00481206">
        <w:rPr>
          <w:rFonts w:ascii="宋体" w:hAnsi="宋体" w:cs="宋体" w:hint="eastAsia"/>
          <w:kern w:val="0"/>
          <w:sz w:val="24"/>
        </w:rPr>
        <w:t>1）投机有哪些作用？</w:t>
      </w:r>
    </w:p>
    <w:p w:rsidR="00481206" w:rsidRPr="00481206" w:rsidRDefault="00481206" w:rsidP="00481206">
      <w:pPr>
        <w:widowControl/>
        <w:spacing w:line="360" w:lineRule="auto"/>
        <w:ind w:firstLineChars="200" w:firstLine="480"/>
        <w:jc w:val="left"/>
        <w:rPr>
          <w:rFonts w:ascii="宋体" w:hAnsi="宋体" w:cs="宋体"/>
          <w:kern w:val="0"/>
          <w:sz w:val="24"/>
        </w:rPr>
      </w:pPr>
      <w:r w:rsidRPr="00481206">
        <w:rPr>
          <w:rFonts w:ascii="宋体" w:hAnsi="宋体" w:cs="宋体" w:hint="eastAsia"/>
          <w:kern w:val="0"/>
          <w:sz w:val="24"/>
        </w:rPr>
        <w:t>2）举例说明跨期套利</w:t>
      </w:r>
    </w:p>
    <w:p w:rsidR="00481206" w:rsidRPr="00481206" w:rsidRDefault="00481206" w:rsidP="00481206">
      <w:pPr>
        <w:widowControl/>
        <w:spacing w:line="360" w:lineRule="auto"/>
        <w:ind w:firstLineChars="200" w:firstLine="480"/>
        <w:jc w:val="left"/>
        <w:rPr>
          <w:rFonts w:ascii="宋体" w:hAnsi="宋体" w:cs="宋体"/>
          <w:kern w:val="0"/>
          <w:sz w:val="24"/>
        </w:rPr>
      </w:pPr>
      <w:r w:rsidRPr="00481206">
        <w:rPr>
          <w:rFonts w:ascii="宋体" w:hAnsi="宋体" w:hint="eastAsia"/>
          <w:kern w:val="0"/>
          <w:sz w:val="24"/>
        </w:rPr>
        <w:t>3）</w:t>
      </w:r>
      <w:r w:rsidRPr="00481206">
        <w:rPr>
          <w:rFonts w:ascii="宋体" w:hAnsi="宋体" w:cs="宋体" w:hint="eastAsia"/>
          <w:kern w:val="0"/>
          <w:sz w:val="24"/>
        </w:rPr>
        <w:t>套利和投机是一回事吗？</w:t>
      </w:r>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bCs/>
          <w:sz w:val="24"/>
        </w:rPr>
        <w:t xml:space="preserve">    </w:t>
      </w:r>
      <w:bookmarkStart w:id="726" w:name="_Toc430424034"/>
      <w:bookmarkStart w:id="727" w:name="_Toc444350357"/>
      <w:bookmarkStart w:id="728" w:name="_Toc474271832"/>
      <w:r w:rsidRPr="00481206">
        <w:rPr>
          <w:rFonts w:ascii="宋体" w:hAnsi="宋体" w:cs="宋体" w:hint="eastAsia"/>
          <w:bCs/>
          <w:sz w:val="24"/>
        </w:rPr>
        <w:t>7.6.7课前准备情况及其他相关特殊要求</w:t>
      </w:r>
      <w:bookmarkEnd w:id="726"/>
      <w:bookmarkEnd w:id="727"/>
      <w:bookmarkEnd w:id="728"/>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729" w:name="_Toc430424035"/>
      <w:bookmarkStart w:id="730" w:name="_Toc444350358"/>
      <w:bookmarkStart w:id="731" w:name="_Toc474271833"/>
      <w:r w:rsidRPr="00481206">
        <w:rPr>
          <w:rFonts w:ascii="宋体" w:hAnsi="宋体" w:cs="宋体" w:hint="eastAsia"/>
          <w:bCs/>
          <w:sz w:val="24"/>
        </w:rPr>
        <w:t>教师：</w:t>
      </w:r>
      <w:r w:rsidRPr="00481206">
        <w:rPr>
          <w:rFonts w:ascii="宋体" w:hAnsi="宋体" w:cs="宋体" w:hint="eastAsia"/>
          <w:sz w:val="24"/>
        </w:rPr>
        <w:t>熟悉课程教学要点；梳理实施方案，明确执行步骤；准备经验素材。</w:t>
      </w:r>
      <w:bookmarkEnd w:id="729"/>
      <w:bookmarkEnd w:id="730"/>
      <w:bookmarkEnd w:id="731"/>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732" w:name="_Toc430424036"/>
      <w:bookmarkStart w:id="733" w:name="_Toc444350359"/>
      <w:bookmarkStart w:id="734" w:name="_Toc474271834"/>
      <w:r w:rsidRPr="00481206">
        <w:rPr>
          <w:rFonts w:ascii="宋体" w:hAnsi="宋体" w:cs="宋体" w:hint="eastAsia"/>
          <w:bCs/>
          <w:sz w:val="24"/>
        </w:rPr>
        <w:t>学生：</w:t>
      </w:r>
      <w:r w:rsidRPr="00481206">
        <w:rPr>
          <w:rFonts w:ascii="宋体" w:hAnsi="宋体" w:cs="宋体" w:hint="eastAsia"/>
          <w:sz w:val="24"/>
        </w:rPr>
        <w:t>预习套利的三种策略。</w:t>
      </w:r>
      <w:bookmarkEnd w:id="732"/>
      <w:bookmarkEnd w:id="733"/>
      <w:bookmarkEnd w:id="734"/>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bCs/>
          <w:sz w:val="24"/>
        </w:rPr>
        <w:t xml:space="preserve">    </w:t>
      </w:r>
      <w:bookmarkStart w:id="735" w:name="_Toc430424037"/>
      <w:bookmarkStart w:id="736" w:name="_Toc444350360"/>
      <w:bookmarkStart w:id="737" w:name="_Toc474271835"/>
      <w:r w:rsidRPr="00481206">
        <w:rPr>
          <w:rFonts w:ascii="宋体" w:hAnsi="宋体" w:cs="宋体" w:hint="eastAsia"/>
          <w:bCs/>
          <w:sz w:val="24"/>
        </w:rPr>
        <w:t>7.6.8参考资料</w:t>
      </w:r>
      <w:bookmarkEnd w:id="735"/>
      <w:bookmarkEnd w:id="736"/>
      <w:bookmarkEnd w:id="737"/>
    </w:p>
    <w:p w:rsidR="00481206" w:rsidRPr="00481206" w:rsidRDefault="00481206" w:rsidP="00481206">
      <w:pPr>
        <w:spacing w:line="360" w:lineRule="auto"/>
        <w:ind w:firstLineChars="200" w:firstLine="480"/>
        <w:outlineLvl w:val="1"/>
        <w:rPr>
          <w:rFonts w:ascii="宋体" w:hAnsi="宋体" w:cs="宋体"/>
          <w:sz w:val="24"/>
        </w:rPr>
      </w:pPr>
      <w:bookmarkStart w:id="738" w:name="_Toc444350361"/>
      <w:bookmarkStart w:id="739" w:name="_Toc474271836"/>
      <w:r w:rsidRPr="00481206">
        <w:rPr>
          <w:rFonts w:ascii="宋体" w:hAnsi="宋体" w:hint="eastAsia"/>
          <w:sz w:val="24"/>
        </w:rPr>
        <w:t>高鸿业.西方及经济学学习与教学手册（第二版）[M],北京：中国人民大学出版社，  2007.</w:t>
      </w:r>
      <w:bookmarkEnd w:id="738"/>
      <w:bookmarkEnd w:id="739"/>
    </w:p>
    <w:p w:rsidR="00481206" w:rsidRPr="00481206" w:rsidRDefault="00481206" w:rsidP="00481206">
      <w:pPr>
        <w:spacing w:line="360" w:lineRule="auto"/>
        <w:ind w:firstLineChars="200" w:firstLine="480"/>
        <w:outlineLvl w:val="1"/>
        <w:rPr>
          <w:rFonts w:ascii="宋体" w:hAnsi="宋体" w:cs="宋体"/>
          <w:bCs/>
          <w:sz w:val="24"/>
        </w:rPr>
      </w:pPr>
      <w:bookmarkStart w:id="740" w:name="_Toc444350362"/>
      <w:bookmarkStart w:id="741" w:name="_Toc474271837"/>
      <w:r w:rsidRPr="00481206">
        <w:rPr>
          <w:rFonts w:ascii="宋体" w:hAnsi="宋体" w:cs="宋体" w:hint="eastAsia"/>
          <w:bCs/>
          <w:sz w:val="24"/>
        </w:rPr>
        <w:t>任映国.国际投资学</w:t>
      </w:r>
      <w:r w:rsidRPr="00481206">
        <w:rPr>
          <w:rFonts w:ascii="宋体" w:hAnsi="宋体" w:cs="宋体" w:hint="eastAsia"/>
          <w:sz w:val="24"/>
        </w:rPr>
        <w:t>[M]</w:t>
      </w:r>
      <w:r w:rsidRPr="00481206">
        <w:rPr>
          <w:rFonts w:ascii="宋体" w:hAnsi="宋体" w:cs="宋体" w:hint="eastAsia"/>
          <w:bCs/>
          <w:sz w:val="24"/>
        </w:rPr>
        <w:t>，北京：中国金融出版社出版社，2001.</w:t>
      </w:r>
      <w:bookmarkEnd w:id="740"/>
      <w:bookmarkEnd w:id="741"/>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陈信华.金融衍生工具[M],上海：上海财经大学出版社，2009.</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叶永刚.衍生金融工具[M],中国金融出版社,2004.</w:t>
      </w:r>
    </w:p>
    <w:p w:rsidR="00481206" w:rsidRPr="00481206" w:rsidRDefault="00481206" w:rsidP="00481206">
      <w:pPr>
        <w:spacing w:line="360" w:lineRule="auto"/>
        <w:ind w:firstLineChars="196" w:firstLine="470"/>
        <w:rPr>
          <w:rFonts w:ascii="宋体" w:hAnsi="宋体"/>
          <w:sz w:val="24"/>
        </w:rPr>
      </w:pPr>
      <w:r w:rsidRPr="00481206">
        <w:rPr>
          <w:rFonts w:ascii="宋体" w:hAnsi="宋体" w:hint="eastAsia"/>
          <w:sz w:val="24"/>
        </w:rPr>
        <w:t>赫尔著.期权、期货和其他衍生品[M],华夏出版社,2011.</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sz w:val="24"/>
        </w:rPr>
        <w:t>Hull,John C. Option,Futures and Other Derivative Securities(Fourth Edition) [M],2000.</w:t>
      </w:r>
    </w:p>
    <w:p w:rsidR="00481206" w:rsidRPr="00481206" w:rsidRDefault="00481206" w:rsidP="00481206">
      <w:pPr>
        <w:pStyle w:val="3"/>
        <w:spacing w:before="0" w:after="0" w:line="360" w:lineRule="auto"/>
        <w:rPr>
          <w:rFonts w:ascii="宋体" w:hAnsi="宋体" w:cs="宋体"/>
          <w:bCs w:val="0"/>
          <w:sz w:val="28"/>
        </w:rPr>
      </w:pPr>
      <w:bookmarkStart w:id="742" w:name="_Toc474271838"/>
      <w:r w:rsidRPr="00481206">
        <w:rPr>
          <w:rFonts w:ascii="宋体" w:hAnsi="宋体" w:cs="宋体" w:hint="eastAsia"/>
          <w:bCs w:val="0"/>
          <w:sz w:val="28"/>
        </w:rPr>
        <w:lastRenderedPageBreak/>
        <w:t>7.7第七单元（共2讲）</w:t>
      </w:r>
      <w:bookmarkEnd w:id="742"/>
    </w:p>
    <w:p w:rsidR="00481206" w:rsidRPr="00481206" w:rsidRDefault="00481206" w:rsidP="00481206">
      <w:pPr>
        <w:spacing w:line="360" w:lineRule="auto"/>
        <w:ind w:firstLineChars="200" w:firstLine="480"/>
        <w:outlineLvl w:val="1"/>
        <w:rPr>
          <w:rFonts w:ascii="宋体" w:hAnsi="宋体" w:cs="宋体"/>
          <w:bCs/>
          <w:sz w:val="24"/>
        </w:rPr>
      </w:pPr>
      <w:bookmarkStart w:id="743" w:name="_Toc430424047"/>
      <w:bookmarkStart w:id="744" w:name="_Toc444350364"/>
      <w:bookmarkStart w:id="745" w:name="_Toc474271839"/>
      <w:r w:rsidRPr="00481206">
        <w:rPr>
          <w:rFonts w:ascii="宋体" w:hAnsi="宋体" w:cs="宋体" w:hint="eastAsia"/>
          <w:bCs/>
          <w:sz w:val="24"/>
        </w:rPr>
        <w:t>7.7.1教学日期</w:t>
      </w:r>
      <w:bookmarkEnd w:id="743"/>
      <w:bookmarkEnd w:id="744"/>
      <w:bookmarkEnd w:id="745"/>
    </w:p>
    <w:p w:rsidR="00481206" w:rsidRPr="00481206" w:rsidRDefault="00922FCC" w:rsidP="00481206">
      <w:pPr>
        <w:spacing w:line="360" w:lineRule="auto"/>
        <w:ind w:firstLineChars="200" w:firstLine="480"/>
        <w:outlineLvl w:val="1"/>
        <w:rPr>
          <w:rFonts w:ascii="宋体" w:hAnsi="宋体" w:cs="宋体"/>
          <w:sz w:val="24"/>
        </w:rPr>
      </w:pPr>
      <w:bookmarkStart w:id="746" w:name="_Toc444350365"/>
      <w:bookmarkStart w:id="747" w:name="_Toc474271840"/>
      <w:r>
        <w:rPr>
          <w:rFonts w:ascii="宋体" w:hAnsi="宋体" w:cs="宋体" w:hint="eastAsia"/>
          <w:sz w:val="24"/>
        </w:rPr>
        <w:t>2017</w:t>
      </w:r>
      <w:r w:rsidR="00481206" w:rsidRPr="00481206">
        <w:rPr>
          <w:rFonts w:ascii="宋体" w:hAnsi="宋体" w:cs="宋体" w:hint="eastAsia"/>
          <w:sz w:val="24"/>
        </w:rPr>
        <w:t>年</w:t>
      </w:r>
      <w:r>
        <w:rPr>
          <w:rFonts w:ascii="宋体" w:hAnsi="宋体" w:cs="宋体" w:hint="eastAsia"/>
          <w:sz w:val="24"/>
        </w:rPr>
        <w:t>6</w:t>
      </w:r>
      <w:r w:rsidR="00481206" w:rsidRPr="00481206">
        <w:rPr>
          <w:rFonts w:ascii="宋体" w:hAnsi="宋体" w:cs="宋体" w:hint="eastAsia"/>
          <w:sz w:val="24"/>
        </w:rPr>
        <w:t>月13日（</w:t>
      </w:r>
      <w:r>
        <w:rPr>
          <w:rFonts w:ascii="宋体" w:hAnsi="宋体" w:cs="宋体" w:hint="eastAsia"/>
          <w:sz w:val="24"/>
        </w:rPr>
        <w:t>周二上午3</w:t>
      </w:r>
      <w:r w:rsidRPr="00481206">
        <w:rPr>
          <w:rFonts w:ascii="宋体" w:hAnsi="宋体" w:cs="宋体" w:hint="eastAsia"/>
          <w:sz w:val="24"/>
        </w:rPr>
        <w:t>、</w:t>
      </w:r>
      <w:r>
        <w:rPr>
          <w:rFonts w:ascii="宋体" w:hAnsi="宋体" w:cs="宋体" w:hint="eastAsia"/>
          <w:sz w:val="24"/>
        </w:rPr>
        <w:t>4</w:t>
      </w:r>
      <w:r w:rsidRPr="00481206">
        <w:rPr>
          <w:rFonts w:ascii="宋体" w:hAnsi="宋体" w:cs="宋体" w:hint="eastAsia"/>
          <w:sz w:val="24"/>
        </w:rPr>
        <w:t>节</w:t>
      </w:r>
      <w:r w:rsidR="00481206" w:rsidRPr="00481206">
        <w:rPr>
          <w:rFonts w:ascii="宋体" w:hAnsi="宋体" w:cs="宋体" w:hint="eastAsia"/>
          <w:sz w:val="24"/>
        </w:rPr>
        <w:t>，第14讲）；</w:t>
      </w:r>
      <w:bookmarkEnd w:id="746"/>
      <w:bookmarkEnd w:id="747"/>
    </w:p>
    <w:p w:rsidR="00481206" w:rsidRPr="00481206" w:rsidRDefault="00922FCC" w:rsidP="00481206">
      <w:pPr>
        <w:spacing w:line="360" w:lineRule="auto"/>
        <w:ind w:firstLineChars="200" w:firstLine="480"/>
        <w:outlineLvl w:val="1"/>
        <w:rPr>
          <w:rFonts w:ascii="宋体" w:hAnsi="宋体" w:cs="宋体"/>
          <w:sz w:val="24"/>
        </w:rPr>
      </w:pPr>
      <w:bookmarkStart w:id="748" w:name="_Toc444350366"/>
      <w:bookmarkStart w:id="749" w:name="_Toc474271841"/>
      <w:r>
        <w:rPr>
          <w:rFonts w:ascii="宋体" w:hAnsi="宋体" w:cs="宋体" w:hint="eastAsia"/>
          <w:sz w:val="24"/>
        </w:rPr>
        <w:t>2017</w:t>
      </w:r>
      <w:r w:rsidR="00481206" w:rsidRPr="00481206">
        <w:rPr>
          <w:rFonts w:ascii="宋体" w:hAnsi="宋体" w:cs="宋体" w:hint="eastAsia"/>
          <w:sz w:val="24"/>
        </w:rPr>
        <w:t>年</w:t>
      </w:r>
      <w:r>
        <w:rPr>
          <w:rFonts w:ascii="宋体" w:hAnsi="宋体" w:cs="宋体" w:hint="eastAsia"/>
          <w:sz w:val="24"/>
        </w:rPr>
        <w:t>6</w:t>
      </w:r>
      <w:r w:rsidR="00481206" w:rsidRPr="00481206">
        <w:rPr>
          <w:rFonts w:ascii="宋体" w:hAnsi="宋体" w:cs="宋体" w:hint="eastAsia"/>
          <w:sz w:val="24"/>
        </w:rPr>
        <w:t>月</w:t>
      </w:r>
      <w:r>
        <w:rPr>
          <w:rFonts w:ascii="宋体" w:hAnsi="宋体" w:cs="宋体" w:hint="eastAsia"/>
          <w:sz w:val="24"/>
        </w:rPr>
        <w:t>15</w:t>
      </w:r>
      <w:r w:rsidR="00481206" w:rsidRPr="00481206">
        <w:rPr>
          <w:rFonts w:ascii="宋体" w:hAnsi="宋体" w:cs="宋体" w:hint="eastAsia"/>
          <w:sz w:val="24"/>
        </w:rPr>
        <w:t>日（</w:t>
      </w:r>
      <w:r>
        <w:rPr>
          <w:rFonts w:ascii="宋体" w:hAnsi="宋体" w:cs="宋体" w:hint="eastAsia"/>
          <w:sz w:val="24"/>
        </w:rPr>
        <w:t>周四上午3</w:t>
      </w:r>
      <w:r w:rsidRPr="00481206">
        <w:rPr>
          <w:rFonts w:ascii="宋体" w:hAnsi="宋体" w:cs="宋体" w:hint="eastAsia"/>
          <w:sz w:val="24"/>
        </w:rPr>
        <w:t>、</w:t>
      </w:r>
      <w:r>
        <w:rPr>
          <w:rFonts w:ascii="宋体" w:hAnsi="宋体" w:cs="宋体" w:hint="eastAsia"/>
          <w:sz w:val="24"/>
        </w:rPr>
        <w:t>4</w:t>
      </w:r>
      <w:r w:rsidRPr="00481206">
        <w:rPr>
          <w:rFonts w:ascii="宋体" w:hAnsi="宋体" w:cs="宋体" w:hint="eastAsia"/>
          <w:sz w:val="24"/>
        </w:rPr>
        <w:t>节</w:t>
      </w:r>
      <w:r w:rsidR="00481206" w:rsidRPr="00481206">
        <w:rPr>
          <w:rFonts w:ascii="宋体" w:hAnsi="宋体" w:cs="宋体" w:hint="eastAsia"/>
          <w:sz w:val="24"/>
        </w:rPr>
        <w:t>，第15讲）。</w:t>
      </w:r>
      <w:bookmarkEnd w:id="748"/>
      <w:bookmarkEnd w:id="749"/>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bCs/>
          <w:sz w:val="24"/>
        </w:rPr>
        <w:t xml:space="preserve">    </w:t>
      </w:r>
      <w:bookmarkStart w:id="750" w:name="_Toc430424049"/>
      <w:bookmarkStart w:id="751" w:name="_Toc444350367"/>
      <w:bookmarkStart w:id="752" w:name="_Toc474271842"/>
      <w:r w:rsidRPr="00481206">
        <w:rPr>
          <w:rFonts w:ascii="宋体" w:hAnsi="宋体" w:cs="宋体" w:hint="eastAsia"/>
          <w:bCs/>
          <w:sz w:val="24"/>
        </w:rPr>
        <w:t>7.7.2单元教学目标</w:t>
      </w:r>
      <w:bookmarkEnd w:id="750"/>
      <w:bookmarkEnd w:id="751"/>
      <w:bookmarkEnd w:id="752"/>
      <w:r w:rsidRPr="00481206">
        <w:rPr>
          <w:rFonts w:ascii="宋体" w:hAnsi="宋体" w:cs="宋体" w:hint="eastAsia"/>
          <w:sz w:val="24"/>
        </w:rPr>
        <w:tab/>
      </w:r>
    </w:p>
    <w:p w:rsidR="00481206" w:rsidRPr="00481206" w:rsidRDefault="00481206" w:rsidP="00481206">
      <w:pPr>
        <w:spacing w:line="360" w:lineRule="auto"/>
        <w:ind w:firstLineChars="200" w:firstLine="480"/>
        <w:rPr>
          <w:rFonts w:ascii="宋体" w:hAnsi="宋体"/>
          <w:bCs/>
          <w:sz w:val="24"/>
        </w:rPr>
      </w:pPr>
      <w:r w:rsidRPr="00481206">
        <w:rPr>
          <w:rFonts w:ascii="宋体" w:hAnsi="宋体" w:cs="宋体" w:hint="eastAsia"/>
          <w:sz w:val="24"/>
        </w:rPr>
        <w:t>了解</w:t>
      </w:r>
      <w:r w:rsidRPr="00481206">
        <w:rPr>
          <w:rFonts w:ascii="宋体" w:hAnsi="宋体" w:hint="eastAsia"/>
          <w:bCs/>
          <w:sz w:val="24"/>
        </w:rPr>
        <w:t>金融期权的定义和种类，以及他与期货的区别和联系；理解金融期权的回报及盈亏分布，包括买进看涨期权、卖出看涨期权、买进看跌期权、卖出看跌期权；了解金融期权市场的交易制度；理解金融期权的内在价值和时间价值；掌握金融期权的定价模型。</w:t>
      </w:r>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bCs/>
          <w:sz w:val="24"/>
        </w:rPr>
        <w:t xml:space="preserve">    </w:t>
      </w:r>
      <w:bookmarkStart w:id="753" w:name="_Toc430424051"/>
      <w:bookmarkStart w:id="754" w:name="_Toc444350368"/>
      <w:bookmarkStart w:id="755" w:name="_Toc474271843"/>
      <w:r w:rsidRPr="00481206">
        <w:rPr>
          <w:rFonts w:ascii="宋体" w:hAnsi="宋体" w:cs="宋体" w:hint="eastAsia"/>
          <w:bCs/>
          <w:sz w:val="24"/>
        </w:rPr>
        <w:t>7.7.3单元教学内容</w:t>
      </w:r>
      <w:bookmarkEnd w:id="753"/>
      <w:bookmarkEnd w:id="754"/>
      <w:bookmarkEnd w:id="755"/>
    </w:p>
    <w:p w:rsidR="00481206" w:rsidRPr="00481206" w:rsidRDefault="00481206" w:rsidP="00481206">
      <w:pPr>
        <w:ind w:firstLineChars="200" w:firstLine="480"/>
        <w:rPr>
          <w:rFonts w:ascii="宋体" w:hAnsi="宋体"/>
          <w:bCs/>
          <w:sz w:val="24"/>
        </w:rPr>
      </w:pPr>
      <w:bookmarkStart w:id="756" w:name="_Toc430424052"/>
      <w:r w:rsidRPr="00481206">
        <w:rPr>
          <w:rFonts w:ascii="宋体" w:hAnsi="宋体" w:cs="宋体" w:hint="eastAsia"/>
          <w:bCs/>
          <w:sz w:val="24"/>
        </w:rPr>
        <w:t xml:space="preserve">第六章  </w:t>
      </w:r>
      <w:bookmarkEnd w:id="756"/>
      <w:r w:rsidRPr="00481206">
        <w:rPr>
          <w:rFonts w:ascii="宋体" w:hAnsi="宋体" w:hint="eastAsia"/>
          <w:bCs/>
          <w:sz w:val="24"/>
        </w:rPr>
        <w:t>金融期权概述</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第一节 金融期权的定义和种类</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一、金融期权的定义</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二、金融期权的种类</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三、金融期权和期货的区别和联系</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第二节 金融期权的回报及盈亏分布</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一、买进看涨期权</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二、卖出看涨期权</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三、买进看跌期权</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四、卖出看跌期权</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五、期权的到期回报公式</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第三节 金融期权市场的交易制度</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一、金融期权合约的标准化</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二、金融期权合约的基本交易制度</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第七章 金融期权的价格特性及定价</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第一节 金融期权的价格特性</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一、金融期权的内在价值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二、金融期权时间价值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三、金融期权价格的影响因素</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四、金融期权价格的上下限</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lastRenderedPageBreak/>
        <w:t>五、看涨期权和看跌期权之间的平价关系（put-call parity,PCR）</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第二节 金融期权的定价</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一、Black-Scholes期权定价公式</w:t>
      </w:r>
    </w:p>
    <w:p w:rsidR="00481206" w:rsidRPr="00481206" w:rsidRDefault="00481206" w:rsidP="00481206">
      <w:pPr>
        <w:spacing w:line="360" w:lineRule="auto"/>
        <w:ind w:firstLine="480"/>
        <w:rPr>
          <w:bCs/>
          <w:sz w:val="24"/>
        </w:rPr>
      </w:pPr>
      <w:r w:rsidRPr="00481206">
        <w:rPr>
          <w:rFonts w:ascii="宋体" w:hAnsi="宋体" w:hint="eastAsia"/>
          <w:bCs/>
          <w:sz w:val="24"/>
        </w:rPr>
        <w:t>二、二项式定价模型</w:t>
      </w:r>
    </w:p>
    <w:p w:rsidR="00481206" w:rsidRPr="00481206" w:rsidRDefault="00481206" w:rsidP="00481206">
      <w:pPr>
        <w:spacing w:line="360" w:lineRule="auto"/>
        <w:ind w:left="360"/>
        <w:outlineLvl w:val="1"/>
        <w:rPr>
          <w:rFonts w:ascii="宋体" w:hAnsi="宋体" w:cs="宋体"/>
          <w:sz w:val="24"/>
        </w:rPr>
      </w:pPr>
      <w:bookmarkStart w:id="757" w:name="_Toc430424084"/>
      <w:bookmarkStart w:id="758" w:name="_Toc444350369"/>
      <w:bookmarkStart w:id="759" w:name="_Toc474271844"/>
      <w:r w:rsidRPr="00481206">
        <w:rPr>
          <w:rFonts w:ascii="宋体" w:hAnsi="宋体" w:cs="宋体" w:hint="eastAsia"/>
          <w:bCs/>
          <w:sz w:val="24"/>
        </w:rPr>
        <w:t>【重点】</w:t>
      </w:r>
      <w:bookmarkEnd w:id="757"/>
      <w:bookmarkEnd w:id="758"/>
      <w:bookmarkEnd w:id="759"/>
    </w:p>
    <w:p w:rsidR="00481206" w:rsidRPr="00481206" w:rsidRDefault="00481206" w:rsidP="00481206">
      <w:pPr>
        <w:spacing w:line="360" w:lineRule="auto"/>
        <w:ind w:firstLineChars="200" w:firstLine="480"/>
        <w:rPr>
          <w:rFonts w:ascii="宋体" w:hAnsi="宋体"/>
          <w:bCs/>
          <w:sz w:val="24"/>
        </w:rPr>
      </w:pPr>
      <w:bookmarkStart w:id="760" w:name="_Toc430424085"/>
      <w:r w:rsidRPr="00481206">
        <w:rPr>
          <w:rFonts w:ascii="宋体" w:hAnsi="宋体" w:hint="eastAsia"/>
          <w:bCs/>
          <w:sz w:val="24"/>
        </w:rPr>
        <w:t>金融期权的盈亏分布、价格特性和定价</w:t>
      </w:r>
      <w:r w:rsidRPr="00481206">
        <w:rPr>
          <w:rFonts w:ascii="宋体" w:hAnsi="宋体" w:cs="宋体" w:hint="eastAsia"/>
          <w:bCs/>
          <w:sz w:val="24"/>
        </w:rPr>
        <w:t>。</w:t>
      </w:r>
      <w:bookmarkEnd w:id="760"/>
    </w:p>
    <w:p w:rsidR="00481206" w:rsidRPr="00481206" w:rsidRDefault="00481206" w:rsidP="00481206">
      <w:pPr>
        <w:spacing w:line="360" w:lineRule="auto"/>
        <w:outlineLvl w:val="1"/>
        <w:rPr>
          <w:rFonts w:ascii="宋体" w:hAnsi="宋体" w:cs="宋体"/>
          <w:bCs/>
          <w:sz w:val="24"/>
        </w:rPr>
      </w:pPr>
      <w:r w:rsidRPr="00481206">
        <w:rPr>
          <w:rFonts w:ascii="宋体" w:hAnsi="宋体" w:cs="宋体" w:hint="eastAsia"/>
          <w:bCs/>
          <w:sz w:val="24"/>
        </w:rPr>
        <w:t xml:space="preserve">   </w:t>
      </w:r>
      <w:bookmarkStart w:id="761" w:name="_Toc430424086"/>
      <w:bookmarkStart w:id="762" w:name="_Toc444350370"/>
      <w:bookmarkStart w:id="763" w:name="_Toc474271845"/>
      <w:r w:rsidRPr="00481206">
        <w:rPr>
          <w:rFonts w:ascii="宋体" w:hAnsi="宋体" w:cs="宋体" w:hint="eastAsia"/>
          <w:bCs/>
          <w:sz w:val="24"/>
        </w:rPr>
        <w:t>【难点】</w:t>
      </w:r>
      <w:bookmarkEnd w:id="761"/>
      <w:bookmarkEnd w:id="762"/>
      <w:bookmarkEnd w:id="763"/>
    </w:p>
    <w:p w:rsidR="00481206" w:rsidRPr="00481206" w:rsidRDefault="00481206" w:rsidP="00481206">
      <w:pPr>
        <w:spacing w:line="360" w:lineRule="auto"/>
        <w:ind w:firstLineChars="200" w:firstLine="480"/>
        <w:rPr>
          <w:rFonts w:ascii="宋体" w:hAnsi="宋体"/>
          <w:bCs/>
          <w:sz w:val="24"/>
        </w:rPr>
      </w:pPr>
      <w:bookmarkStart w:id="764" w:name="_Toc430424088"/>
      <w:r w:rsidRPr="00481206">
        <w:rPr>
          <w:rFonts w:ascii="宋体" w:hAnsi="宋体" w:hint="eastAsia"/>
          <w:bCs/>
          <w:sz w:val="24"/>
        </w:rPr>
        <w:t>金融期权的内在价值和时间价值；Black-Scholes期权定价公式；二项式定价模型。</w:t>
      </w:r>
    </w:p>
    <w:p w:rsidR="00481206" w:rsidRPr="00481206" w:rsidRDefault="00481206" w:rsidP="00481206">
      <w:pPr>
        <w:spacing w:line="360" w:lineRule="auto"/>
        <w:ind w:firstLineChars="200" w:firstLine="480"/>
        <w:outlineLvl w:val="1"/>
        <w:rPr>
          <w:rFonts w:ascii="宋体" w:hAnsi="宋体" w:cs="宋体"/>
          <w:bCs/>
          <w:sz w:val="24"/>
          <w:u w:val="single"/>
        </w:rPr>
      </w:pPr>
      <w:bookmarkStart w:id="765" w:name="_Toc444350371"/>
      <w:bookmarkStart w:id="766" w:name="_Toc474271846"/>
      <w:r w:rsidRPr="00481206">
        <w:rPr>
          <w:rFonts w:ascii="宋体" w:hAnsi="宋体" w:cs="宋体" w:hint="eastAsia"/>
          <w:bCs/>
          <w:sz w:val="24"/>
        </w:rPr>
        <w:t>7.7.4单元教学过程（共2讲）</w:t>
      </w:r>
      <w:bookmarkEnd w:id="764"/>
      <w:bookmarkEnd w:id="765"/>
      <w:bookmarkEnd w:id="766"/>
      <w:r w:rsidRPr="00481206">
        <w:rPr>
          <w:rFonts w:ascii="宋体" w:hAnsi="宋体" w:cs="宋体" w:hint="eastAsia"/>
          <w:bCs/>
          <w:sz w:val="24"/>
        </w:rPr>
        <w:tab/>
      </w:r>
      <w:bookmarkStart w:id="767" w:name="_Toc430424089"/>
    </w:p>
    <w:p w:rsidR="00481206" w:rsidRPr="00481206" w:rsidRDefault="00481206" w:rsidP="00481206">
      <w:pPr>
        <w:numPr>
          <w:ilvl w:val="0"/>
          <w:numId w:val="4"/>
        </w:numPr>
        <w:tabs>
          <w:tab w:val="left" w:pos="420"/>
        </w:tabs>
        <w:spacing w:line="360" w:lineRule="auto"/>
        <w:ind w:left="0" w:firstLine="420"/>
        <w:outlineLvl w:val="1"/>
        <w:rPr>
          <w:rFonts w:ascii="宋体" w:hAnsi="宋体" w:cs="宋体"/>
          <w:bCs/>
          <w:sz w:val="24"/>
        </w:rPr>
      </w:pPr>
      <w:bookmarkStart w:id="768" w:name="_Toc444350372"/>
      <w:bookmarkStart w:id="769" w:name="_Toc474271847"/>
      <w:bookmarkEnd w:id="767"/>
      <w:r w:rsidRPr="00481206">
        <w:rPr>
          <w:rFonts w:ascii="宋体" w:hAnsi="宋体" w:cs="宋体" w:hint="eastAsia"/>
          <w:bCs/>
          <w:sz w:val="24"/>
        </w:rPr>
        <w:t>第14讲，共90分钟</w:t>
      </w:r>
      <w:bookmarkEnd w:id="768"/>
      <w:bookmarkEnd w:id="769"/>
    </w:p>
    <w:p w:rsidR="00481206" w:rsidRPr="00481206" w:rsidRDefault="00481206" w:rsidP="00481206">
      <w:pPr>
        <w:jc w:val="center"/>
        <w:rPr>
          <w:rFonts w:ascii="宋体" w:hAnsi="宋体"/>
          <w:bCs/>
          <w:sz w:val="24"/>
        </w:rPr>
      </w:pPr>
      <w:r w:rsidRPr="00481206">
        <w:rPr>
          <w:rFonts w:ascii="宋体" w:hAnsi="宋体" w:cs="宋体" w:hint="eastAsia"/>
          <w:bCs/>
          <w:sz w:val="24"/>
        </w:rPr>
        <w:t xml:space="preserve">第六章  </w:t>
      </w:r>
      <w:r w:rsidRPr="00481206">
        <w:rPr>
          <w:rFonts w:ascii="宋体" w:hAnsi="宋体" w:hint="eastAsia"/>
          <w:bCs/>
          <w:sz w:val="24"/>
        </w:rPr>
        <w:t>金融期权概述</w:t>
      </w:r>
    </w:p>
    <w:p w:rsidR="00481206" w:rsidRPr="00481206" w:rsidRDefault="00481206" w:rsidP="00481206">
      <w:pPr>
        <w:spacing w:line="360" w:lineRule="auto"/>
        <w:jc w:val="center"/>
        <w:rPr>
          <w:rFonts w:ascii="宋体" w:hAnsi="宋体"/>
          <w:bCs/>
          <w:sz w:val="24"/>
        </w:rPr>
      </w:pPr>
      <w:r w:rsidRPr="00481206">
        <w:rPr>
          <w:rFonts w:ascii="宋体" w:hAnsi="宋体" w:hint="eastAsia"/>
          <w:bCs/>
          <w:sz w:val="24"/>
        </w:rPr>
        <w:t>第一节 金融期权的定义和种类</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一、金融期权的定义</w:t>
      </w:r>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（一）期权的定义</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所谓“期权”（Option），又称“选择权”，是指赋予其购买者在规定的期限内按双方约定的价格（简称“执行价格”，exercise price或striking price）购买或出售一定数量某种资产（称为标的资产）的权利的合约。</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可以看出，期权交易其实是一种“权利”的交易，而所谓的“金融期权”，即是指以各种金融商品或金融衍生产品作为标的资产的期权交易形式。</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（二）期权的购买者和期权的出售者</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所谓“期权的购买者”（buyer），也称为期权的持有者（holder），是指支付期权费以获取期权合约所赋予的权利的一方；</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所谓“期权的出售者”（seller），也称为期权的签发者（writer），是指收取期权费而履行期权合约所规定的义务的一方。</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在期权交易的过程中，期权购买者在向期权出售者支付一定的期权费后，就获得了期权合约所赋予的权利。在金融期权交易中，期权购买者可在期权合约所规定的某一特定时间，以事先确定的价格（协定价格）向期权出售者买进或卖出一定数量的某种金融产品或金融衍生产品。在期权合约所规定的时间内（即期权有效期内），或期权合约所规定的某一特定的履约日，期权购买者既可行使他所拥有的这种权利，同时也可以放弃这种权利。这就说明，对期权购买者而言，期权合约只赋予他可以行使的权利，而未规</w:t>
      </w:r>
      <w:r w:rsidRPr="00481206">
        <w:rPr>
          <w:rFonts w:ascii="宋体" w:hAnsi="宋体" w:hint="eastAsia"/>
          <w:bCs/>
          <w:sz w:val="24"/>
        </w:rPr>
        <w:lastRenderedPageBreak/>
        <w:t>定他必须履行的义务。不过，无论期权购买者行使其权利，还是放弃其权利，他所支付的期权费均不予退还。</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而对于期权出售者来讲，在其收取购买者所支付的期权费以后，就必须在规定时间内履行该期权合约所规定的义务。也就是说，在期权合约所规定的时间内，或期权合约所规定的某一特定的履约日，只要期权购买者要求执行期权，则期权出售者就必须无条件的履行期权合约所规定的义务。这就说明，对期权出售者而言，除了在成交时向期权购买者收取一定的期权费之外，期权合约只规定他必须履行的义务，而未赋予他任何权利。</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因此可以看出，在期权的交易中，期权购买者和期权出售者之间在权利和义务上存在明显的不对称性。</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（三）期权费</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我们从期权的定义可以看出，期权的交易是一种权利的交易，而期权费就是这一权利的价格。所谓“期权费”，是指期权购买者为获得期权合约所赋予的权利，而向期权出售者支付的费用。这一费用一旦支付，不管期权购买者是否执行该期权，该期权费均不予退还。</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一般来讲，期权交易也是一种套期保值的工具，这里的套期保值者是期权的购买者。他们之所以买进期权，是因为他们担心市场价格将发生不利于他们的变动，买进期权后，他们便获得了在期权有效期内以已知的协定价格买进或卖出一定数量某种资产的权利，从而将自己所面临的价格风险转移给了交易的对方。与此同时，期权出售者则因为卖出期权而承担了市场价格不确定变动的风险。</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（四）协定价格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协定价格（strike price），也称“执行价格”（exercise price）或“履约价格”是指期权合约所规定的、期权购买者在执行期权时买进或卖出标的物的价格。在金融期权的交易中，协定价格是期权购买者向期权出售者买进或卖出一定数量的某种金融资产或金融衍生品的价格。这一价格一旦确定，则在期权合约的有效期内，无论期权合约的标的物现货价格变化到了何种水平，只要期权购买者要求执行期权，期权出售者就必须以此价格履行其必须履行的义务。</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二、金融期权的种类</w:t>
      </w:r>
    </w:p>
    <w:p w:rsidR="00481206" w:rsidRPr="00481206" w:rsidRDefault="00481206" w:rsidP="00481206">
      <w:pPr>
        <w:spacing w:line="360" w:lineRule="auto"/>
        <w:ind w:firstLineChars="146" w:firstLine="350"/>
        <w:rPr>
          <w:rFonts w:ascii="宋体" w:hAnsi="宋体"/>
          <w:bCs/>
          <w:sz w:val="24"/>
        </w:rPr>
      </w:pPr>
      <w:r w:rsidRPr="00481206">
        <w:rPr>
          <w:rFonts w:ascii="宋体" w:hAnsi="宋体" w:hint="eastAsia"/>
          <w:bCs/>
          <w:sz w:val="24"/>
        </w:rPr>
        <w:t>（一）看涨期权与看跌期权</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根据期权合约赋予期权购买者的不同权利，金融期权可分为看涨期权和看跌期权。</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lastRenderedPageBreak/>
        <w:t>1.看涨期权（call options），是指期权购买者可在约定的未来某一日期或该日期之前，按照协定价格向期权出售者买进一定数量的某种金融资产或金融衍生产品的权利。</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例如：2007年8月31日，1份通用电气股票为标的资产，协议价格为40美元，到期日为2007年9月22日的看涨期权的价格（期权费）为0.35美元（当时市场中通用电气股票的价格为38.5美元）。</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这意味着，如果一个投资者在2007年8月31日按照0.35美元的价格买入1份通用电气股票的看涨期权，就有权利在2007年9月22日或之前按照40美元的价格买入1股通用电气股票。我们假设投资者在2007年9月22日执行合约，如果当天的通用电气股票价格高于40美元，这个期权的购买者（也叫多方）应该执行这个权利，而且股票的价格比40美元高多少，就从执行合约中获利多少，当然还要扣除最初0.35美元的期权费才是最终利润；反之，如果9月22日那天通用电气股票的价格低于40美元，显然多方应该放弃这个权利，他有权利不进行任何交易，而最终损失的就是0.35美元的期权费。在2007年9月22日之后，期权到期，多方的权利也就失效了。</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而对于看涨期权的出售者（空方），在收取了0.35美元的期权费之后，空方之后义务而没有权利了，当股票价格高于40美元，多方要求执行权利时，空方必须按照40美元的价格将股票卖给多方，当股票价格低于40美元时，多方不执行权利，空方也必须接受多方的选择。</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因此可以看出，看涨期权就是赋予多方在未来按协定价格买入某种资产的权利。如果价格上涨，多方将执行这个权利；如果价格下跌，多方有权利放弃执行。而期权费，就是购买这个权利所支付的费用。显然正是多方认为标的资产未来的价格将上涨，因此他才愿意付出期权费买入这样一个期权，这就是为什么此类期权被称为“看涨期权”。</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2.看跌期权（put options），则是指期权购买者可在约定的未来某日期或该日期之前，以协定价格向期权出售者卖出一定数量的某种金融资产或金融衍生品的权利。</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例如：2007年8月31日，1份通用电气公司股票为标的资产，协议价格为40美元，到期日为2007年9月22日的看跌期权价格为1.76美元（当时通用电气股票的价格为38.5美元）。</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这意味着，如果投资者在2007年8月31日以1.76美元的价格买入1份通用电气的这个看跌期权，就有权利在2007年9月22日之前按照40美元的价格卖出1股通用电气股票。以2007年9月22日为例，如果那一天股票的价格低于40美元，这个期权的购买者（多方）应该执行这个权利，而且股票价格比40美元低多少，就从股票上获</w:t>
      </w:r>
      <w:r w:rsidRPr="00481206">
        <w:rPr>
          <w:rFonts w:ascii="宋体" w:hAnsi="宋体" w:hint="eastAsia"/>
          <w:bCs/>
          <w:sz w:val="24"/>
        </w:rPr>
        <w:lastRenderedPageBreak/>
        <w:t>利多少，当然还要扣除最初的1.76美元的期权费才能获得利润。反之，如果9月22日那天通用电气股票价格高于40美元，显然多方应该放弃这个权利，他有权利不进行任何的交易，而最终损失的就是1.76美元的期权费。2007年9月22日之后，期权到期，多方的权利也最终失效了。</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而对于看跌期权的卖方来讲，在收取1.76美元的期权费以后，空方就只有义务而没有权利了：当股票价格低于40美元，多方要执行期权时，空方必须按照40美元的价格向多方买入股票；当股票价格高于40美元时，多方不执行期权，空方也必须接受多方的选择。</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因此，看跌期权就是赋予多方未来按照约定价格卖出某种资产的权利。未来如果价格下跌，多方将执行这个权利；如果价格上涨，多方有权放弃这个权利。而期权费，就是购买这个权利所支付的费用。显然正是因为多方对标的资产未来看跌，才愿意付出期权费买入这样一个期权，这就是为什么此类期权被叫做“看跌期权”。</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由此可以看出，期权是一种金融合约，是买卖双方关于未来某种权利的协议。其协议要素包括：买卖双方、约定的权利、约定期限、协议价格、约定的交易数量和期权费。</w:t>
      </w:r>
    </w:p>
    <w:p w:rsidR="00481206" w:rsidRPr="00481206" w:rsidRDefault="00481206" w:rsidP="00481206">
      <w:pPr>
        <w:spacing w:line="360" w:lineRule="auto"/>
        <w:ind w:firstLine="480"/>
        <w:jc w:val="center"/>
        <w:rPr>
          <w:rFonts w:ascii="宋体" w:hAnsi="宋体"/>
          <w:bCs/>
          <w:sz w:val="24"/>
        </w:rPr>
      </w:pPr>
      <w:r w:rsidRPr="00481206">
        <w:rPr>
          <w:rFonts w:ascii="宋体" w:hAnsi="宋体" w:hint="eastAsia"/>
          <w:bCs/>
          <w:sz w:val="24"/>
        </w:rPr>
        <w:t>期权交易中的双重买卖关系</w: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1176"/>
        <w:gridCol w:w="3576"/>
        <w:gridCol w:w="3576"/>
      </w:tblGrid>
      <w:tr w:rsidR="00481206" w:rsidRPr="00481206" w:rsidTr="00CF0F4C">
        <w:tc>
          <w:tcPr>
            <w:tcW w:w="0" w:type="auto"/>
          </w:tcPr>
          <w:p w:rsidR="00481206" w:rsidRPr="00481206" w:rsidRDefault="00481206" w:rsidP="00CF0F4C">
            <w:pPr>
              <w:spacing w:line="360" w:lineRule="auto"/>
              <w:jc w:val="center"/>
              <w:rPr>
                <w:rFonts w:ascii="宋体" w:hAnsi="宋体"/>
                <w:bCs/>
                <w:sz w:val="24"/>
              </w:rPr>
            </w:pPr>
          </w:p>
        </w:tc>
        <w:tc>
          <w:tcPr>
            <w:tcW w:w="0" w:type="auto"/>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看涨期权</w:t>
            </w:r>
          </w:p>
        </w:tc>
        <w:tc>
          <w:tcPr>
            <w:tcW w:w="0" w:type="auto"/>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看跌期权</w:t>
            </w:r>
          </w:p>
        </w:tc>
      </w:tr>
      <w:tr w:rsidR="00481206" w:rsidRPr="00481206" w:rsidTr="00CF0F4C">
        <w:tc>
          <w:tcPr>
            <w:tcW w:w="0" w:type="auto"/>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期权买方</w:t>
            </w:r>
          </w:p>
        </w:tc>
        <w:tc>
          <w:tcPr>
            <w:tcW w:w="0" w:type="auto"/>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以执行价格买入标的资产的权利</w:t>
            </w:r>
          </w:p>
        </w:tc>
        <w:tc>
          <w:tcPr>
            <w:tcW w:w="0" w:type="auto"/>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以执行价格卖出标的资产的权利</w:t>
            </w:r>
          </w:p>
        </w:tc>
      </w:tr>
      <w:tr w:rsidR="00481206" w:rsidRPr="00481206" w:rsidTr="00CF0F4C">
        <w:tc>
          <w:tcPr>
            <w:tcW w:w="0" w:type="auto"/>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期权卖方</w:t>
            </w:r>
          </w:p>
        </w:tc>
        <w:tc>
          <w:tcPr>
            <w:tcW w:w="0" w:type="auto"/>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以执行价格卖出标的资产的义务</w:t>
            </w:r>
          </w:p>
        </w:tc>
        <w:tc>
          <w:tcPr>
            <w:tcW w:w="0" w:type="auto"/>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以执行价格买入标的资产的义务</w:t>
            </w:r>
          </w:p>
        </w:tc>
      </w:tr>
    </w:tbl>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对于期权的多方来讲，期权合约赋予他的只有权力，而没有任何义务。他可以在期权合约规定的时间内行使其购买或出售标的资产的权利，也可以不行使这个权利。对于期权的出售者来讲，他只有执行合约的义务，而没有任何权利。当期权买者按照合约规定行使其买进或卖出标的资产的权利时，期权卖者必须依约相应地卖出或买进该标的资产。天下没有免费的午餐，作为给期权卖者承担义务的报酬，期权买者要支付给期权卖者一定的费用，称为期权费或期权价格。</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需要指出的是，这里所说的“看涨”和“看跌”，都是对期权购买者而言的。也就是说，期权购买者之所以买进看涨期权，是因为他们对市场的行情“看涨”。而期权购买者之所以买进看跌期权，是因为他们对市场的行情“看跌”。</w:t>
      </w:r>
    </w:p>
    <w:p w:rsidR="00481206" w:rsidRPr="00481206" w:rsidRDefault="00481206" w:rsidP="00481206">
      <w:pPr>
        <w:spacing w:line="360" w:lineRule="auto"/>
        <w:ind w:firstLineChars="146" w:firstLine="350"/>
        <w:rPr>
          <w:rFonts w:ascii="宋体" w:hAnsi="宋体"/>
          <w:bCs/>
          <w:sz w:val="24"/>
        </w:rPr>
      </w:pPr>
      <w:r w:rsidRPr="00481206">
        <w:rPr>
          <w:rFonts w:ascii="宋体" w:hAnsi="宋体" w:hint="eastAsia"/>
          <w:bCs/>
          <w:sz w:val="24"/>
        </w:rPr>
        <w:t>（二）欧式期权与美式期权</w:t>
      </w:r>
    </w:p>
    <w:p w:rsidR="00481206" w:rsidRPr="00481206" w:rsidRDefault="00481206" w:rsidP="00481206">
      <w:pPr>
        <w:spacing w:line="360" w:lineRule="auto"/>
        <w:ind w:firstLineChars="146" w:firstLine="350"/>
        <w:rPr>
          <w:rFonts w:ascii="宋体" w:hAnsi="宋体"/>
          <w:bCs/>
          <w:sz w:val="24"/>
        </w:rPr>
      </w:pPr>
      <w:r w:rsidRPr="00481206">
        <w:rPr>
          <w:rFonts w:ascii="宋体" w:hAnsi="宋体" w:hint="eastAsia"/>
          <w:bCs/>
          <w:sz w:val="24"/>
        </w:rPr>
        <w:t>1.欧式期权（European options），是指期权购买者只能在期权到期日才能履约的期权。</w:t>
      </w:r>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lastRenderedPageBreak/>
        <w:t>例如：一份到期日为2008年1月18日、执行价格为10元、标的资产为XYZ股票的看涨期权，如果该期权为欧式期权，则期权购买者只能在2008年1月18日才能执行该期权。</w:t>
      </w:r>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t>2.美式期权（American Options），是指期权购买者既可在期权到期日履约，又可在期权到期日之前的任一营业日履约的期权。</w:t>
      </w:r>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t>例如：一份到期日为2008年1月18日、执行价格为10元、标的资产为XYZ股票的看涨期权，如果该期权为美式期权，则期权购买者在2008年1月18日前的任一时刻都可以执行该期权。</w:t>
      </w:r>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t>显然，在其他条件（标的资产、执行价格和到期时间）都相同的情况下，由于美式期权的持有者除了拥有欧式期权的所有权利之外，还拥有一个在到期前随时执行期权的权利，其价值肯定不应小于对应的欧式期权的价值。</w:t>
      </w:r>
    </w:p>
    <w:p w:rsidR="00481206" w:rsidRPr="00481206" w:rsidRDefault="00481206" w:rsidP="00481206">
      <w:pPr>
        <w:spacing w:line="360" w:lineRule="auto"/>
        <w:ind w:firstLineChars="146" w:firstLine="350"/>
        <w:rPr>
          <w:rFonts w:ascii="宋体" w:hAnsi="宋体"/>
          <w:bCs/>
          <w:sz w:val="24"/>
        </w:rPr>
      </w:pPr>
      <w:r w:rsidRPr="00481206">
        <w:rPr>
          <w:rFonts w:ascii="宋体" w:hAnsi="宋体" w:hint="eastAsia"/>
          <w:bCs/>
          <w:sz w:val="24"/>
        </w:rPr>
        <w:t>（三）场内期权与场外期权</w:t>
      </w:r>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t>根据交易场所是否集中，以及期权合约是否标准化，可将金融期权分为场内期权和场外期权。</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1.场内期权（exchange-traded options）：是指在集中性的金融期权市场中交易的标准化的金融期权合约。</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2.场外期权（over-the-counter options）：是指在非集中性的交易场所交易的非标准化的期权合约。</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场内期权和场外期权的区别，有点类似于我们前面所讲的期货和远期的区别。场内期权的交易数量、协定价格、到期日及履约时间等均由交易所统一规定；而场外期权则是一种非标准化的金融期权合约，所以其交易数量、协定价格、到期日及履约时间等均可由交易双方自由议定。</w:t>
      </w:r>
    </w:p>
    <w:p w:rsidR="00481206" w:rsidRPr="00481206" w:rsidRDefault="00481206" w:rsidP="00481206">
      <w:pPr>
        <w:spacing w:line="360" w:lineRule="auto"/>
        <w:ind w:firstLineChars="146" w:firstLine="350"/>
        <w:rPr>
          <w:rFonts w:ascii="宋体" w:hAnsi="宋体"/>
          <w:bCs/>
          <w:sz w:val="24"/>
        </w:rPr>
      </w:pPr>
      <w:r w:rsidRPr="00481206">
        <w:rPr>
          <w:rFonts w:ascii="宋体" w:hAnsi="宋体" w:hint="eastAsia"/>
          <w:bCs/>
          <w:sz w:val="24"/>
        </w:rPr>
        <w:t>（四）现货期权与期货期权</w:t>
      </w:r>
    </w:p>
    <w:p w:rsidR="00481206" w:rsidRPr="00481206" w:rsidRDefault="00481206" w:rsidP="00481206">
      <w:pPr>
        <w:spacing w:line="360" w:lineRule="auto"/>
        <w:ind w:firstLineChars="146" w:firstLine="350"/>
        <w:rPr>
          <w:rFonts w:ascii="宋体" w:hAnsi="宋体"/>
          <w:bCs/>
          <w:sz w:val="24"/>
        </w:rPr>
      </w:pPr>
      <w:r w:rsidRPr="00481206">
        <w:rPr>
          <w:rFonts w:ascii="宋体" w:hAnsi="宋体" w:hint="eastAsia"/>
          <w:bCs/>
          <w:sz w:val="24"/>
        </w:rPr>
        <w:t xml:space="preserve"> 现货期权（options on physicals），是指以各种金融现货资产或金融工具作为标的物的期权，如股票期权，股指期权、货币期权或债券期权等；</w:t>
      </w:r>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t>期货期权（options on future），是指以各种金融期货合约作为标的物的期权，如货币期货期权、利率期货期权以及股指期货期权等。</w:t>
      </w:r>
    </w:p>
    <w:p w:rsidR="00481206" w:rsidRPr="00481206" w:rsidRDefault="00481206" w:rsidP="00481206">
      <w:pPr>
        <w:spacing w:line="360" w:lineRule="auto"/>
        <w:ind w:firstLineChars="146" w:firstLine="350"/>
        <w:rPr>
          <w:rFonts w:ascii="宋体" w:hAnsi="宋体"/>
          <w:bCs/>
          <w:sz w:val="24"/>
        </w:rPr>
      </w:pPr>
      <w:r w:rsidRPr="00481206">
        <w:rPr>
          <w:rFonts w:ascii="宋体" w:hAnsi="宋体" w:hint="eastAsia"/>
          <w:bCs/>
          <w:sz w:val="24"/>
        </w:rPr>
        <w:t>（五）有担保期权与无担保期权</w:t>
      </w:r>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t>主要是针对看涨期权而言。在出售看涨期权时，如果期权出售者实际拥有该期权合约所规定的标的物，并将它作为履约的保证而存放于经纪人处，则他所出售看涨期权就</w:t>
      </w:r>
      <w:r w:rsidRPr="00481206">
        <w:rPr>
          <w:rFonts w:ascii="宋体" w:hAnsi="宋体" w:hint="eastAsia"/>
          <w:bCs/>
          <w:sz w:val="24"/>
        </w:rPr>
        <w:lastRenderedPageBreak/>
        <w:t>被称为“有担保的看涨期权”（covered call）。反之，如果期权出售者并不拥有该期权合约所规定的标的物，则他所出售的看涨期权就被称为“无担保的看涨期权”（naked call）。</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三、金融期权和期货的区别和联系</w:t>
      </w:r>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（一）权利和义务</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期货合约的双方都被赋予相应的权利和义务，除非用相反的合约进行对冲，否则这种权利和义务在到期日必须执行，也只能在到期日行使。而期权合约只赋予买方权利，卖方无任何权利，而只有在对方履约时进行对应买卖标的物的义务；</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（二）标准化</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期货合约都是标准化的，因为它是在交易所中进行的，而期权合约不一定。</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（三）盈亏风险</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对期货合约来讲，空方的亏损可能是无限大的，盈利则可能是有限的，而多方最大的亏损可能是标的资产的价格跌为零，盈利可能是无限的。而期权交易空方的亏损可能是无限的（看涨期权），也可能是有限的（看跌期权），盈利则是有限的（以期权费为限）；期权交易多方的亏损风险是有限的（以期权费为限），盈利则可能是无限的（看涨期权），也可能是有限的（看跌期权）。</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（四）保证金</w:t>
      </w:r>
    </w:p>
    <w:p w:rsidR="00481206" w:rsidRPr="00481206" w:rsidRDefault="00481206" w:rsidP="00481206">
      <w:pPr>
        <w:spacing w:line="360" w:lineRule="auto"/>
        <w:ind w:firstLineChars="195" w:firstLine="468"/>
        <w:rPr>
          <w:rFonts w:ascii="宋体" w:hAnsi="宋体"/>
          <w:bCs/>
          <w:sz w:val="24"/>
        </w:rPr>
      </w:pPr>
      <w:r w:rsidRPr="00481206">
        <w:rPr>
          <w:rFonts w:ascii="宋体" w:hAnsi="宋体" w:hint="eastAsia"/>
          <w:bCs/>
          <w:sz w:val="24"/>
        </w:rPr>
        <w:t>期货交易的买卖双方都需缴纳保证金。期权的多方无需缴纳保证金，因为其亏损不会超过他已经支付的期权费。而在交易所交易的期权空方则需要交纳保证金。</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（五）买卖匹配</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期货合约的买方到期必须买入标的资产，而期权合约的买方在到期日或到期前则有买入（看涨期权）或卖出（看跌期权）标的资产的权利。期货合约的卖方到期必须卖出标的资产，而期权合约的卖方在到期日或到期前则有根据买方意愿相应卖出（看涨期权）或买入（看跌期权）的义务。</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（六）套期保值</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运用期货进行套期保值时，在把不利风险转移出去的同时，也把有利的风险转移出去。而期权多头在运用期权进行套期保值时，只把不利风险转移出去而把有利风险留给自己。</w:t>
      </w:r>
    </w:p>
    <w:p w:rsidR="00481206" w:rsidRPr="00481206" w:rsidRDefault="00481206" w:rsidP="00481206">
      <w:pPr>
        <w:spacing w:line="360" w:lineRule="auto"/>
        <w:jc w:val="center"/>
        <w:rPr>
          <w:rFonts w:ascii="宋体" w:hAnsi="宋体"/>
          <w:bCs/>
          <w:sz w:val="24"/>
        </w:rPr>
      </w:pPr>
      <w:r w:rsidRPr="00481206">
        <w:rPr>
          <w:rFonts w:ascii="宋体" w:hAnsi="宋体" w:hint="eastAsia"/>
          <w:bCs/>
          <w:sz w:val="24"/>
        </w:rPr>
        <w:t>第二节 金融期权的回报及盈亏分布</w:t>
      </w:r>
    </w:p>
    <w:p w:rsidR="00481206" w:rsidRPr="00481206" w:rsidRDefault="00481206" w:rsidP="00481206">
      <w:pPr>
        <w:spacing w:line="360" w:lineRule="auto"/>
        <w:ind w:firstLineChars="197" w:firstLine="473"/>
        <w:rPr>
          <w:rFonts w:ascii="宋体" w:hAnsi="宋体"/>
          <w:bCs/>
          <w:sz w:val="24"/>
        </w:rPr>
      </w:pPr>
      <w:r w:rsidRPr="00481206">
        <w:rPr>
          <w:rFonts w:ascii="宋体" w:hAnsi="宋体" w:hint="eastAsia"/>
          <w:bCs/>
          <w:sz w:val="24"/>
        </w:rPr>
        <w:t>一般来讲，金融期权主要分为看涨期权和看跌期权两种类型，而期权交易又有买进</w:t>
      </w:r>
      <w:r w:rsidRPr="00481206">
        <w:rPr>
          <w:rFonts w:ascii="宋体" w:hAnsi="宋体" w:hint="eastAsia"/>
          <w:bCs/>
          <w:sz w:val="24"/>
        </w:rPr>
        <w:lastRenderedPageBreak/>
        <w:t>和卖出期权两种策略。所以，金融期权交易的交易策略（单一部位策略）就有如下四种，即买进看涨期权、卖出看涨期权、买进看跌期权和卖出看跌期权（从这一章开始，我们以X表示期权的执行价格，小写的</w:t>
      </w:r>
      <w:r w:rsidRPr="00481206">
        <w:rPr>
          <w:rFonts w:ascii="宋体" w:hAnsi="宋体"/>
          <w:bCs/>
          <w:sz w:val="24"/>
        </w:rPr>
        <w:t>c</w:t>
      </w:r>
      <w:r w:rsidRPr="00481206">
        <w:rPr>
          <w:rFonts w:ascii="宋体" w:hAnsi="宋体" w:hint="eastAsia"/>
          <w:bCs/>
          <w:sz w:val="24"/>
        </w:rPr>
        <w:t>和p表示欧式看涨期权和看跌期权价格，大写的C和P代表美式看涨期权和看跌期权的价格）。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一、买进看涨期权</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所谓看涨期权，就是指期权购买者可在约定的未来某时间以协定价格，买进一定数量的某种商品或某种金融资产的权利。当投资者预期某资产之市场价格将上涨时，他可买进以该资产为标的物的看涨期权。日后若市场价格果然上涨，且涨到协定价格之上，则该投资者即可执行其持有的期权，从而获利，获利的多少将视市场价格上涨的幅度而定。从理论上来讲，市场价格上涨的幅度无限，故期权购买者的获利程度也无限。反之，若市场价格下跌或不变，且跌到协定价格以下，则该投资科放弃他所持有的期权。此时，他将受到一定的损失，但这种损失时有限的，且是已知的。因为当期权购买者放弃期权时，其最大的损失是他购买该期权时所支付的期权费，因此，对买进看涨期权的投资者而言，其潜在的利润是无限的，而其潜在的损失是有限的。如下图所示：</w:t>
      </w:r>
    </w:p>
    <w:p w:rsidR="00481206" w:rsidRPr="00481206" w:rsidRDefault="00EF6E22" w:rsidP="00481206">
      <w:pPr>
        <w:spacing w:line="360" w:lineRule="auto"/>
        <w:rPr>
          <w:rFonts w:ascii="宋体" w:hAnsi="宋体"/>
          <w:bCs/>
          <w:sz w:val="24"/>
        </w:rPr>
      </w:pPr>
      <w:r>
        <w:rPr>
          <w:rFonts w:ascii="宋体" w:hAnsi="宋体"/>
          <w:bCs/>
          <w:sz w:val="24"/>
        </w:rPr>
      </w:r>
      <w:r>
        <w:rPr>
          <w:rFonts w:ascii="宋体" w:hAnsi="宋体"/>
          <w:bCs/>
          <w:sz w:val="24"/>
        </w:rPr>
        <w:pict>
          <v:group id="_x0000_s1177" editas="canvas" style="width:414pt;height:241.8pt;mso-position-horizontal-relative:char;mso-position-vertical-relative:line" coordorigin="2362,7300" coordsize="7200,4212">
            <o:lock v:ext="edit" aspectratio="t"/>
            <v:shape id="_x0000_s1178" type="#_x0000_t75" style="position:absolute;left:2362;top:7300;width:7200;height:4212" o:preferrelative="f">
              <v:fill o:detectmouseclick="t"/>
              <v:path o:extrusionok="t" o:connecttype="none"/>
              <o:lock v:ext="edit" text="t"/>
            </v:shape>
            <v:line id="_x0000_s1179" style="position:absolute" from="3614,9338" to="8153,9339">
              <v:stroke endarrow="block"/>
            </v:line>
            <v:line id="_x0000_s1180" style="position:absolute;flip:y" from="3614,7436" to="3615,10969">
              <v:stroke endarrow="block"/>
            </v:line>
            <v:rect id="_x0000_s1181" style="position:absolute;left:2988;top:7436;width:469;height:1223" stroked="f">
              <v:textbox>
                <w:txbxContent>
                  <w:p w:rsidR="00481206" w:rsidRDefault="00481206" w:rsidP="00481206">
                    <w:r>
                      <w:rPr>
                        <w:rFonts w:hint="eastAsia"/>
                      </w:rPr>
                      <w:t>盈亏状况</w:t>
                    </w:r>
                  </w:p>
                </w:txbxContent>
              </v:textbox>
            </v:rect>
            <v:rect id="_x0000_s1182" style="position:absolute;left:7997;top:9610;width:1252;height:543" stroked="f">
              <v:textbox>
                <w:txbxContent>
                  <w:p w:rsidR="00481206" w:rsidRDefault="00481206" w:rsidP="00481206">
                    <w:r>
                      <w:rPr>
                        <w:rFonts w:hint="eastAsia"/>
                      </w:rPr>
                      <w:t>市场价格</w:t>
                    </w:r>
                  </w:p>
                </w:txbxContent>
              </v:textbox>
            </v:rect>
            <v:line id="_x0000_s1183" style="position:absolute" from="3614,9746" to="6119,9746"/>
            <v:line id="_x0000_s1184" style="position:absolute;flip:y" from="6119,8115" to="7527,9746"/>
            <v:line id="_x0000_s1185" style="position:absolute;flip:x y" from="6588,9474" to="6901,10289">
              <v:stroke endarrow="block"/>
            </v:line>
            <v:rect id="_x0000_s1186" style="position:absolute;left:6432;top:10425;width:1252;height:544" stroked="f">
              <v:textbox>
                <w:txbxContent>
                  <w:p w:rsidR="00481206" w:rsidRDefault="00481206" w:rsidP="00481206">
                    <w:r>
                      <w:rPr>
                        <w:rFonts w:hint="eastAsia"/>
                      </w:rPr>
                      <w:t>盈亏平衡点</w:t>
                    </w:r>
                  </w:p>
                </w:txbxContent>
              </v:textbox>
            </v:rect>
            <v:line id="_x0000_s1187" style="position:absolute" from="6119,9338" to="6119,9746">
              <v:stroke dashstyle="dashDot"/>
            </v:line>
            <v:line id="_x0000_s1188" style="position:absolute" from="5336,8387" to="5962,9202">
              <v:stroke endarrow="block"/>
            </v:line>
            <v:rect id="_x0000_s1189" style="position:absolute;left:4397;top:7843;width:1722;height:408" stroked="f">
              <v:textbox>
                <w:txbxContent>
                  <w:p w:rsidR="00481206" w:rsidRDefault="00481206" w:rsidP="00481206">
                    <w:r>
                      <w:rPr>
                        <w:rFonts w:hint="eastAsia"/>
                      </w:rPr>
                      <w:t xml:space="preserve">  </w:t>
                    </w:r>
                    <w:r>
                      <w:rPr>
                        <w:rFonts w:hint="eastAsia"/>
                      </w:rPr>
                      <w:t>协定价格</w:t>
                    </w:r>
                  </w:p>
                </w:txbxContent>
              </v:textbox>
            </v:rect>
            <v:rect id="_x0000_s1190" style="position:absolute;left:2988;top:8930;width:470;height:681" stroked="f">
              <v:textbox>
                <w:txbxContent>
                  <w:p w:rsidR="00481206" w:rsidRDefault="00481206" w:rsidP="00481206"/>
                  <w:p w:rsidR="00481206" w:rsidRDefault="00481206" w:rsidP="00481206">
                    <w:r>
                      <w:rPr>
                        <w:rFonts w:hint="eastAsia"/>
                      </w:rPr>
                      <w:t xml:space="preserve"> 0</w:t>
                    </w:r>
                  </w:p>
                </w:txbxContent>
              </v:textbox>
            </v:rect>
            <w10:wrap type="none"/>
            <w10:anchorlock/>
          </v:group>
        </w:pict>
      </w:r>
    </w:p>
    <w:p w:rsidR="00481206" w:rsidRPr="00481206" w:rsidRDefault="00481206" w:rsidP="00481206">
      <w:pPr>
        <w:spacing w:line="360" w:lineRule="auto"/>
        <w:ind w:firstLine="570"/>
        <w:rPr>
          <w:rFonts w:ascii="宋体" w:hAnsi="宋体"/>
          <w:bCs/>
          <w:sz w:val="24"/>
        </w:rPr>
      </w:pPr>
      <w:r w:rsidRPr="00481206">
        <w:rPr>
          <w:rFonts w:ascii="宋体" w:hAnsi="宋体" w:hint="eastAsia"/>
          <w:bCs/>
          <w:sz w:val="24"/>
        </w:rPr>
        <w:t>例如：我们以执行价格为40元的欧式股票看涨期权为例。在期权到期时，如果标的股票的价格高于40元，多头必然执行期权，即按40元买入股票获利，股票价格高出40元多少，就可以获得多少回报，若股票价格低于40元，多头必然放弃权利，回报为零。如果不考虑期权费，看涨期权多头的回报就是40元以下为零，40元以上就是45°角向右上方延伸。</w:t>
      </w:r>
    </w:p>
    <w:p w:rsidR="00481206" w:rsidRPr="00481206" w:rsidRDefault="00EF6E22" w:rsidP="00481206">
      <w:pPr>
        <w:spacing w:line="360" w:lineRule="auto"/>
        <w:rPr>
          <w:rFonts w:ascii="宋体" w:hAnsi="宋体"/>
          <w:bCs/>
          <w:sz w:val="24"/>
        </w:rPr>
      </w:pPr>
      <w:r>
        <w:rPr>
          <w:rFonts w:ascii="宋体" w:hAnsi="宋体"/>
          <w:bCs/>
          <w:sz w:val="24"/>
        </w:rPr>
      </w:r>
      <w:r>
        <w:rPr>
          <w:rFonts w:ascii="宋体" w:hAnsi="宋体"/>
          <w:bCs/>
          <w:sz w:val="24"/>
        </w:rPr>
        <w:pict>
          <v:group id="_x0000_s1167" editas="canvas" style="width:414pt;height:241.8pt;mso-position-horizontal-relative:char;mso-position-vertical-relative:line" coordorigin="2362,7300" coordsize="7200,4212">
            <o:lock v:ext="edit" aspectratio="t"/>
            <v:shape id="_x0000_s1168" type="#_x0000_t75" style="position:absolute;left:2362;top:7300;width:7200;height:4212" o:preferrelative="f">
              <v:fill o:detectmouseclick="t"/>
              <v:path o:extrusionok="t" o:connecttype="none"/>
              <o:lock v:ext="edit" text="t"/>
            </v:shape>
            <v:line id="_x0000_s1169" style="position:absolute" from="3614,9338" to="8153,9339">
              <v:stroke endarrow="block"/>
            </v:line>
            <v:line id="_x0000_s1170" style="position:absolute;flip:y" from="3614,7436" to="3615,10969">
              <v:stroke endarrow="block"/>
            </v:line>
            <v:rect id="_x0000_s1171" style="position:absolute;left:2988;top:7436;width:469;height:1223" stroked="f">
              <v:textbox>
                <w:txbxContent>
                  <w:p w:rsidR="00481206" w:rsidRDefault="00481206" w:rsidP="00481206">
                    <w:r>
                      <w:rPr>
                        <w:rFonts w:hint="eastAsia"/>
                      </w:rPr>
                      <w:t>盈亏状况</w:t>
                    </w:r>
                  </w:p>
                </w:txbxContent>
              </v:textbox>
            </v:rect>
            <v:rect id="_x0000_s1172" style="position:absolute;left:7997;top:9610;width:1252;height:543" stroked="f">
              <v:textbox>
                <w:txbxContent>
                  <w:p w:rsidR="00481206" w:rsidRDefault="00481206" w:rsidP="00481206">
                    <w:r>
                      <w:rPr>
                        <w:rFonts w:hint="eastAsia"/>
                      </w:rPr>
                      <w:t>市场价格</w:t>
                    </w:r>
                  </w:p>
                </w:txbxContent>
              </v:textbox>
            </v:rect>
            <v:line id="_x0000_s1173" style="position:absolute" from="3614,9338" to="6119,9339"/>
            <v:line id="_x0000_s1174" style="position:absolute;flip:y" from="6119,7708" to="7526,9338"/>
            <v:rect id="_x0000_s1175" style="position:absolute;left:2988;top:8930;width:470;height:681" stroked="f">
              <v:textbox>
                <w:txbxContent>
                  <w:p w:rsidR="00481206" w:rsidRDefault="00481206" w:rsidP="00481206"/>
                  <w:p w:rsidR="00481206" w:rsidRDefault="00481206" w:rsidP="00481206">
                    <w:r>
                      <w:rPr>
                        <w:rFonts w:hint="eastAsia"/>
                      </w:rPr>
                      <w:t xml:space="preserve"> 0</w:t>
                    </w:r>
                  </w:p>
                </w:txbxContent>
              </v:textbox>
            </v:rect>
            <v:rect id="_x0000_s1176" style="position:absolute;left:5805;top:9474;width:940;height:543" stroked="f">
              <v:textbox>
                <w:txbxContent>
                  <w:p w:rsidR="00481206" w:rsidRDefault="00481206" w:rsidP="00481206">
                    <w:r>
                      <w:rPr>
                        <w:rFonts w:hint="eastAsia"/>
                      </w:rPr>
                      <w:t>40</w:t>
                    </w:r>
                    <w:r>
                      <w:rPr>
                        <w:rFonts w:hint="eastAsia"/>
                      </w:rPr>
                      <w:t>元</w:t>
                    </w:r>
                  </w:p>
                </w:txbxContent>
              </v:textbox>
            </v:rect>
            <w10:wrap type="none"/>
            <w10:anchorlock/>
          </v:group>
        </w:pict>
      </w:r>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如果考虑期权费，就要考虑复出期权费的成本（这里不考虑利息支出）。因此看涨期权多头的盈亏线就要比上图的线向下平移，平移量正好等于多头所支付的期权费。如图所示：</w:t>
      </w:r>
    </w:p>
    <w:p w:rsidR="00481206" w:rsidRPr="00481206" w:rsidRDefault="00EF6E22" w:rsidP="00481206">
      <w:pPr>
        <w:spacing w:line="360" w:lineRule="auto"/>
        <w:rPr>
          <w:rFonts w:ascii="宋体" w:hAnsi="宋体"/>
          <w:bCs/>
          <w:sz w:val="24"/>
        </w:rPr>
      </w:pPr>
      <w:r>
        <w:rPr>
          <w:rFonts w:ascii="宋体" w:hAnsi="宋体"/>
          <w:bCs/>
          <w:sz w:val="24"/>
        </w:rPr>
      </w:r>
      <w:r>
        <w:rPr>
          <w:rFonts w:ascii="宋体" w:hAnsi="宋体"/>
          <w:bCs/>
          <w:sz w:val="24"/>
        </w:rPr>
        <w:pict>
          <v:group id="_x0000_s1153" editas="canvas" style="width:414pt;height:241.8pt;mso-position-horizontal-relative:char;mso-position-vertical-relative:line" coordorigin="2362,7300" coordsize="7200,4212">
            <o:lock v:ext="edit" aspectratio="t"/>
            <v:shape id="_x0000_s1154" type="#_x0000_t75" style="position:absolute;left:2362;top:7300;width:7200;height:4212" o:preferrelative="f">
              <v:fill o:detectmouseclick="t"/>
              <v:path o:extrusionok="t" o:connecttype="none"/>
              <o:lock v:ext="edit" text="t"/>
            </v:shape>
            <v:line id="_x0000_s1155" style="position:absolute" from="3614,9338" to="8153,9339">
              <v:stroke endarrow="block"/>
            </v:line>
            <v:line id="_x0000_s1156" style="position:absolute;flip:y" from="3614,7436" to="3615,10969">
              <v:stroke endarrow="block"/>
            </v:line>
            <v:rect id="_x0000_s1157" style="position:absolute;left:2988;top:7436;width:469;height:1223" stroked="f">
              <v:textbox>
                <w:txbxContent>
                  <w:p w:rsidR="00481206" w:rsidRDefault="00481206" w:rsidP="00481206">
                    <w:r>
                      <w:rPr>
                        <w:rFonts w:hint="eastAsia"/>
                      </w:rPr>
                      <w:t>盈亏状况</w:t>
                    </w:r>
                  </w:p>
                </w:txbxContent>
              </v:textbox>
            </v:rect>
            <v:rect id="_x0000_s1158" style="position:absolute;left:7997;top:9610;width:1252;height:543" stroked="f">
              <v:textbox>
                <w:txbxContent>
                  <w:p w:rsidR="00481206" w:rsidRDefault="00481206" w:rsidP="00481206">
                    <w:r>
                      <w:rPr>
                        <w:rFonts w:hint="eastAsia"/>
                      </w:rPr>
                      <w:t>市场价格</w:t>
                    </w:r>
                  </w:p>
                </w:txbxContent>
              </v:textbox>
            </v:rect>
            <v:line id="_x0000_s1159" style="position:absolute" from="3614,9746" to="6119,9746"/>
            <v:line id="_x0000_s1160" style="position:absolute;flip:y" from="6119,8115" to="7527,9746"/>
            <v:line id="_x0000_s1161" style="position:absolute;flip:x y" from="6588,9474" to="6901,10289">
              <v:stroke endarrow="block"/>
            </v:line>
            <v:rect id="_x0000_s1162" style="position:absolute;left:6432;top:10425;width:1721;height:544" stroked="f">
              <v:textbox>
                <w:txbxContent>
                  <w:p w:rsidR="00481206" w:rsidRDefault="00481206" w:rsidP="00481206">
                    <w:r>
                      <w:rPr>
                        <w:rFonts w:hint="eastAsia"/>
                      </w:rPr>
                      <w:t>盈亏平衡点：</w:t>
                    </w:r>
                    <w:r>
                      <w:rPr>
                        <w:rFonts w:hint="eastAsia"/>
                      </w:rPr>
                      <w:t>A</w:t>
                    </w:r>
                  </w:p>
                </w:txbxContent>
              </v:textbox>
            </v:rect>
            <v:line id="_x0000_s1163" style="position:absolute" from="6119,9338" to="6119,9746">
              <v:stroke dashstyle="dashDot"/>
            </v:line>
            <v:line id="_x0000_s1164" style="position:absolute" from="5336,8387" to="5962,9202">
              <v:stroke endarrow="block"/>
            </v:line>
            <v:rect id="_x0000_s1165" style="position:absolute;left:4397;top:7843;width:1722;height:408" stroked="f">
              <v:textbox>
                <w:txbxContent>
                  <w:p w:rsidR="00481206" w:rsidRDefault="00481206" w:rsidP="00481206">
                    <w:r>
                      <w:rPr>
                        <w:rFonts w:hint="eastAsia"/>
                      </w:rPr>
                      <w:t xml:space="preserve">  </w:t>
                    </w:r>
                    <w:r>
                      <w:rPr>
                        <w:rFonts w:hint="eastAsia"/>
                      </w:rPr>
                      <w:t>协定价格：</w:t>
                    </w:r>
                    <w:r>
                      <w:rPr>
                        <w:rFonts w:hint="eastAsia"/>
                      </w:rPr>
                      <w:t>40</w:t>
                    </w:r>
                    <w:r>
                      <w:rPr>
                        <w:rFonts w:hint="eastAsia"/>
                      </w:rPr>
                      <w:t>元</w:t>
                    </w:r>
                  </w:p>
                </w:txbxContent>
              </v:textbox>
            </v:rect>
            <v:rect id="_x0000_s1166" style="position:absolute;left:2988;top:8930;width:470;height:681" stroked="f">
              <v:textbox>
                <w:txbxContent>
                  <w:p w:rsidR="00481206" w:rsidRDefault="00481206" w:rsidP="00481206"/>
                  <w:p w:rsidR="00481206" w:rsidRDefault="00481206" w:rsidP="00481206">
                    <w:r>
                      <w:rPr>
                        <w:rFonts w:hint="eastAsia"/>
                      </w:rPr>
                      <w:t xml:space="preserve"> 0</w:t>
                    </w:r>
                  </w:p>
                </w:txbxContent>
              </v:textbox>
            </v:rect>
            <w10:wrap type="none"/>
            <w10:anchorlock/>
          </v:group>
        </w:pi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在上图中可以看出，40元仍然是看涨期权多头是否执行期权的转折点，但只有的那个股票的价格涨到图中的A点（盈亏平衡点）以后，期权的多头才开始盈利。</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二、卖出看涨期权</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当投资者预期某资产之市场价格下跌时，他可卖出以该资产为标的物的看涨期权。日后或在期权到期日，市场价格果然下跌，且跌至协定价格以下，则期权购买者必然放</w:t>
      </w:r>
      <w:r w:rsidRPr="00481206">
        <w:rPr>
          <w:rFonts w:ascii="宋体" w:hAnsi="宋体" w:hint="eastAsia"/>
          <w:bCs/>
          <w:sz w:val="24"/>
        </w:rPr>
        <w:lastRenderedPageBreak/>
        <w:t>弃期权。这样，期权出售者即可获得最大利润，这一最大利润就是他卖出看涨期权时所收取的期权费。但是，若市场价格不降反涨，且涨至协定价格之上，则期权购买者将要求执行期权，而期权出售者必须无条件执行，这样，他将受到一定的损失，其损失的程度将决定于市场价格上涨的幅度，从理论上来讲，由于市场价格上涨的幅度是无限的，所以，期权的出售者可能发生的损失也将是无限的。如图所示：</w:t>
      </w:r>
    </w:p>
    <w:p w:rsidR="00481206" w:rsidRPr="00481206" w:rsidRDefault="00EF6E22" w:rsidP="00481206">
      <w:pPr>
        <w:spacing w:line="360" w:lineRule="auto"/>
        <w:rPr>
          <w:rFonts w:ascii="宋体" w:hAnsi="宋体"/>
          <w:bCs/>
          <w:sz w:val="24"/>
        </w:rPr>
      </w:pPr>
      <w:r>
        <w:rPr>
          <w:rFonts w:ascii="宋体" w:hAnsi="宋体"/>
          <w:bCs/>
          <w:sz w:val="24"/>
        </w:rPr>
      </w:r>
      <w:r>
        <w:rPr>
          <w:rFonts w:ascii="宋体" w:hAnsi="宋体"/>
          <w:bCs/>
          <w:sz w:val="24"/>
        </w:rPr>
        <w:pict>
          <v:group id="_x0000_s1139" editas="canvas" style="width:414pt;height:241.8pt;mso-position-horizontal-relative:char;mso-position-vertical-relative:line" coordorigin="2362,7300" coordsize="7200,4212">
            <o:lock v:ext="edit" aspectratio="t"/>
            <v:shape id="_x0000_s1140" type="#_x0000_t75" style="position:absolute;left:2362;top:7300;width:7200;height:4212" o:preferrelative="f">
              <v:fill o:detectmouseclick="t"/>
              <v:path o:extrusionok="t" o:connecttype="none"/>
              <o:lock v:ext="edit" text="t"/>
            </v:shape>
            <v:line id="_x0000_s1141" style="position:absolute" from="3614,9338" to="8153,9339">
              <v:stroke endarrow="block"/>
            </v:line>
            <v:line id="_x0000_s1142" style="position:absolute;flip:y" from="3614,7436" to="3615,10969">
              <v:stroke endarrow="block"/>
            </v:line>
            <v:rect id="_x0000_s1143" style="position:absolute;left:2988;top:7436;width:469;height:1223" stroked="f">
              <v:textbox>
                <w:txbxContent>
                  <w:p w:rsidR="00481206" w:rsidRDefault="00481206" w:rsidP="00481206">
                    <w:r>
                      <w:rPr>
                        <w:rFonts w:hint="eastAsia"/>
                      </w:rPr>
                      <w:t>盈亏状况</w:t>
                    </w:r>
                  </w:p>
                </w:txbxContent>
              </v:textbox>
            </v:rect>
            <v:rect id="_x0000_s1144" style="position:absolute;left:7997;top:9610;width:1252;height:543" stroked="f">
              <v:textbox>
                <w:txbxContent>
                  <w:p w:rsidR="00481206" w:rsidRDefault="00481206" w:rsidP="00481206">
                    <w:r>
                      <w:rPr>
                        <w:rFonts w:hint="eastAsia"/>
                      </w:rPr>
                      <w:t>市场价格</w:t>
                    </w:r>
                  </w:p>
                </w:txbxContent>
              </v:textbox>
            </v:rect>
            <v:line id="_x0000_s1145" style="position:absolute" from="3614,8930" to="6119,8931"/>
            <v:rect id="_x0000_s1146" style="position:absolute;left:6432;top:7843;width:1251;height:545" stroked="f">
              <v:textbox>
                <w:txbxContent>
                  <w:p w:rsidR="00481206" w:rsidRDefault="00481206" w:rsidP="00481206">
                    <w:r>
                      <w:rPr>
                        <w:rFonts w:hint="eastAsia"/>
                      </w:rPr>
                      <w:t>盈亏平衡点</w:t>
                    </w:r>
                  </w:p>
                </w:txbxContent>
              </v:textbox>
            </v:rect>
            <v:line id="_x0000_s1147" style="position:absolute" from="6119,8930" to="6120,9338">
              <v:stroke dashstyle="dashDot"/>
            </v:line>
            <v:rect id="_x0000_s1148" style="position:absolute;left:4084;top:10017;width:1722;height:409" stroked="f">
              <v:textbox>
                <w:txbxContent>
                  <w:p w:rsidR="00481206" w:rsidRDefault="00481206" w:rsidP="00481206">
                    <w:r>
                      <w:rPr>
                        <w:rFonts w:hint="eastAsia"/>
                      </w:rPr>
                      <w:t xml:space="preserve">      </w:t>
                    </w:r>
                    <w:r>
                      <w:rPr>
                        <w:rFonts w:hint="eastAsia"/>
                      </w:rPr>
                      <w:t>协定价格</w:t>
                    </w:r>
                  </w:p>
                </w:txbxContent>
              </v:textbox>
            </v:rect>
            <v:rect id="_x0000_s1149" style="position:absolute;left:2988;top:8930;width:470;height:681" stroked="f">
              <v:textbox>
                <w:txbxContent>
                  <w:p w:rsidR="00481206" w:rsidRDefault="00481206" w:rsidP="00481206"/>
                  <w:p w:rsidR="00481206" w:rsidRDefault="00481206" w:rsidP="00481206">
                    <w:r>
                      <w:rPr>
                        <w:rFonts w:hint="eastAsia"/>
                      </w:rPr>
                      <w:t xml:space="preserve"> 0</w:t>
                    </w:r>
                  </w:p>
                </w:txbxContent>
              </v:textbox>
            </v:rect>
            <v:line id="_x0000_s1150" style="position:absolute" from="6119,8930" to="7527,10153"/>
            <v:line id="_x0000_s1151" style="position:absolute;flip:y" from="5336,9474" to="5962,10017">
              <v:stroke endarrow="block"/>
            </v:line>
            <v:line id="_x0000_s1152" style="position:absolute;flip:x" from="6588,8387" to="7058,9202">
              <v:stroke endarrow="block"/>
            </v:line>
            <w10:wrap type="none"/>
            <w10:anchorlock/>
          </v:group>
        </w:pi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例如：还是以上例为主。如果考虑期权费，看涨期权出售者的盈亏图如下图所示：</w:t>
      </w:r>
    </w:p>
    <w:p w:rsidR="00481206" w:rsidRPr="00481206" w:rsidRDefault="00EF6E22" w:rsidP="00481206">
      <w:pPr>
        <w:spacing w:line="360" w:lineRule="auto"/>
        <w:rPr>
          <w:rFonts w:ascii="宋体" w:hAnsi="宋体"/>
          <w:bCs/>
          <w:sz w:val="24"/>
        </w:rPr>
      </w:pPr>
      <w:r>
        <w:rPr>
          <w:rFonts w:ascii="宋体" w:hAnsi="宋体"/>
          <w:bCs/>
          <w:sz w:val="24"/>
        </w:rPr>
      </w:r>
      <w:r>
        <w:rPr>
          <w:rFonts w:ascii="宋体" w:hAnsi="宋体"/>
          <w:bCs/>
          <w:sz w:val="24"/>
        </w:rPr>
        <w:pict>
          <v:group id="_x0000_s1125" editas="canvas" style="width:414pt;height:241.8pt;mso-position-horizontal-relative:char;mso-position-vertical-relative:line" coordorigin="2362,7300" coordsize="7200,4212">
            <o:lock v:ext="edit" aspectratio="t"/>
            <v:shape id="_x0000_s1126" type="#_x0000_t75" style="position:absolute;left:2362;top:7300;width:7200;height:4212" o:preferrelative="f">
              <v:fill o:detectmouseclick="t"/>
              <v:path o:extrusionok="t" o:connecttype="none"/>
              <o:lock v:ext="edit" text="t"/>
            </v:shape>
            <v:line id="_x0000_s1127" style="position:absolute" from="3614,9338" to="8153,9339">
              <v:stroke endarrow="block"/>
            </v:line>
            <v:line id="_x0000_s1128" style="position:absolute;flip:y" from="3614,7436" to="3615,10969">
              <v:stroke endarrow="block"/>
            </v:line>
            <v:rect id="_x0000_s1129" style="position:absolute;left:2988;top:7436;width:469;height:1223" stroked="f">
              <v:textbox>
                <w:txbxContent>
                  <w:p w:rsidR="00481206" w:rsidRDefault="00481206" w:rsidP="00481206">
                    <w:r>
                      <w:rPr>
                        <w:rFonts w:hint="eastAsia"/>
                      </w:rPr>
                      <w:t>盈亏状况</w:t>
                    </w:r>
                  </w:p>
                </w:txbxContent>
              </v:textbox>
            </v:rect>
            <v:rect id="_x0000_s1130" style="position:absolute;left:7997;top:9610;width:1252;height:543" stroked="f">
              <v:textbox>
                <w:txbxContent>
                  <w:p w:rsidR="00481206" w:rsidRDefault="00481206" w:rsidP="00481206">
                    <w:r>
                      <w:rPr>
                        <w:rFonts w:hint="eastAsia"/>
                      </w:rPr>
                      <w:t>市场价格</w:t>
                    </w:r>
                  </w:p>
                </w:txbxContent>
              </v:textbox>
            </v:rect>
            <v:line id="_x0000_s1131" style="position:absolute" from="3614,8930" to="6119,8931"/>
            <v:rect id="_x0000_s1132" style="position:absolute;left:6432;top:7843;width:1565;height:545" stroked="f">
              <v:textbox>
                <w:txbxContent>
                  <w:p w:rsidR="00481206" w:rsidRDefault="00481206" w:rsidP="00481206">
                    <w:r>
                      <w:rPr>
                        <w:rFonts w:hint="eastAsia"/>
                      </w:rPr>
                      <w:t>盈亏平衡点：</w:t>
                    </w:r>
                    <w:r>
                      <w:rPr>
                        <w:rFonts w:hint="eastAsia"/>
                      </w:rPr>
                      <w:t>A</w:t>
                    </w:r>
                  </w:p>
                </w:txbxContent>
              </v:textbox>
            </v:rect>
            <v:line id="_x0000_s1133" style="position:absolute" from="6119,8930" to="6120,9338">
              <v:stroke dashstyle="dashDot"/>
            </v:line>
            <v:rect id="_x0000_s1134" style="position:absolute;left:4084;top:10017;width:2035;height:409" stroked="f">
              <v:textbox>
                <w:txbxContent>
                  <w:p w:rsidR="00481206" w:rsidRDefault="00481206" w:rsidP="00481206">
                    <w:r>
                      <w:rPr>
                        <w:rFonts w:hint="eastAsia"/>
                      </w:rPr>
                      <w:t xml:space="preserve">      </w:t>
                    </w:r>
                    <w:r>
                      <w:rPr>
                        <w:rFonts w:hint="eastAsia"/>
                      </w:rPr>
                      <w:t>协定价格：</w:t>
                    </w:r>
                    <w:r>
                      <w:rPr>
                        <w:rFonts w:hint="eastAsia"/>
                      </w:rPr>
                      <w:t>40</w:t>
                    </w:r>
                  </w:p>
                </w:txbxContent>
              </v:textbox>
            </v:rect>
            <v:rect id="_x0000_s1135" style="position:absolute;left:2988;top:8930;width:470;height:681" stroked="f">
              <v:textbox>
                <w:txbxContent>
                  <w:p w:rsidR="00481206" w:rsidRDefault="00481206" w:rsidP="00481206"/>
                  <w:p w:rsidR="00481206" w:rsidRDefault="00481206" w:rsidP="00481206">
                    <w:r>
                      <w:rPr>
                        <w:rFonts w:hint="eastAsia"/>
                      </w:rPr>
                      <w:t xml:space="preserve"> 0</w:t>
                    </w:r>
                  </w:p>
                </w:txbxContent>
              </v:textbox>
            </v:rect>
            <v:line id="_x0000_s1136" style="position:absolute" from="6119,8930" to="7527,10153"/>
            <v:line id="_x0000_s1137" style="position:absolute;flip:y" from="5336,9474" to="5962,10017">
              <v:stroke endarrow="block"/>
            </v:line>
            <v:line id="_x0000_s1138" style="position:absolute;flip:x" from="6588,8387" to="7058,9202">
              <v:stroke endarrow="block"/>
            </v:line>
            <w10:wrap type="none"/>
            <w10:anchorlock/>
          </v:group>
        </w:pi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因此，我们可以看出，看涨期权都头的亏损风险是有限的，其最大的亏损限度是期权价格，而其盈利可能却是无限的。相反，看涨期权空头的亏损可能是无限的，而盈利</w:t>
      </w:r>
      <w:r w:rsidRPr="00481206">
        <w:rPr>
          <w:rFonts w:ascii="宋体" w:hAnsi="宋体" w:hint="eastAsia"/>
          <w:bCs/>
          <w:sz w:val="24"/>
        </w:rPr>
        <w:lastRenderedPageBreak/>
        <w:t>是有限的，其最大盈利限度是期权价格。期权多头以较低的期权费为代价换取较大盈利的可能性。同时，期权多头和空头的回报和盈亏正好相反，并能够抵消，因此期权交易也是一种“零和游戏”（zero-sum games）。</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三、买进看跌期权</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根据定义，看跌期权是期权购买者所拥有的、可在未来某时间以协定价格，向期权出售者卖出一定数量的某种商品的权利。在金融期权交易中，投资者之所以买进这种期权，是因为他预期标的资产的市场价格将下跌。买进看跌期权后，若标的资产的市场价格果然下跌，且跌至协定价格之下，则该投资者即可行使权利，以较高的协定价格卖出其持有的标的资产，从而避免市场价格下跌所造成的损失。同时。如果期权购买者并不持有标的资产，则在标的资产之市场价格下跌时，他可以较低的市场价格买进标的资产，而以较高的协定价格卖出标的资产，从而获利，获利的程度将取决于标的资产的市场价格下跌的幅度。反之，在买进看跌期权后，若标的资产的市场价格没有下跌，反而上涨，则投资者可以放弃期权而损失其支付的期权费。如下图所示：</w:t>
      </w:r>
    </w:p>
    <w:p w:rsidR="00481206" w:rsidRPr="00481206" w:rsidRDefault="00EF6E22" w:rsidP="00481206">
      <w:pPr>
        <w:spacing w:line="360" w:lineRule="auto"/>
        <w:rPr>
          <w:rFonts w:ascii="宋体" w:hAnsi="宋体"/>
          <w:bCs/>
          <w:sz w:val="24"/>
        </w:rPr>
      </w:pPr>
      <w:r>
        <w:rPr>
          <w:rFonts w:ascii="宋体" w:hAnsi="宋体"/>
          <w:bCs/>
          <w:sz w:val="24"/>
        </w:rPr>
      </w:r>
      <w:r>
        <w:rPr>
          <w:rFonts w:ascii="宋体" w:hAnsi="宋体"/>
          <w:bCs/>
          <w:sz w:val="24"/>
        </w:rPr>
        <w:pict>
          <v:group id="_x0000_s1191" editas="canvas" style="width:414pt;height:241.8pt;mso-position-horizontal-relative:char;mso-position-vertical-relative:line" coordorigin="2362,7720" coordsize="7200,4212">
            <o:lock v:ext="edit" aspectratio="t"/>
            <v:shape id="_x0000_s1192" type="#_x0000_t75" style="position:absolute;left:2362;top:7720;width:7200;height:4212" o:preferrelative="f">
              <v:fill o:detectmouseclick="t"/>
              <v:path o:extrusionok="t" o:connecttype="none"/>
              <o:lock v:ext="edit" text="t"/>
            </v:shape>
            <v:line id="_x0000_s1193" style="position:absolute" from="3927,9894" to="8310,9895">
              <v:stroke endarrow="block"/>
            </v:line>
            <v:line id="_x0000_s1194" style="position:absolute;flip:y" from="3927,8128" to="3928,11524">
              <v:stroke endarrow="block"/>
            </v:line>
            <v:line id="_x0000_s1195" style="position:absolute" from="3927,9079" to="5492,10302"/>
            <v:line id="_x0000_s1196" style="position:absolute" from="5492,10302" to="8153,10302"/>
            <v:line id="_x0000_s1197" style="position:absolute" from="5492,9894" to="5492,10302">
              <v:stroke dashstyle="dashDot"/>
            </v:line>
            <v:rect id="_x0000_s1198" style="position:absolute;left:3301;top:7992;width:469;height:1223" stroked="f">
              <v:textbox style="mso-next-textbox:#_x0000_s1198">
                <w:txbxContent>
                  <w:p w:rsidR="00481206" w:rsidRDefault="00481206" w:rsidP="00481206">
                    <w:r>
                      <w:rPr>
                        <w:rFonts w:hint="eastAsia"/>
                      </w:rPr>
                      <w:t>盈亏状况</w:t>
                    </w:r>
                  </w:p>
                </w:txbxContent>
              </v:textbox>
            </v:rect>
            <v:rect id="_x0000_s1199" style="position:absolute;left:3301;top:9486;width:470;height:682" stroked="f">
              <v:textbox style="mso-next-textbox:#_x0000_s1199">
                <w:txbxContent>
                  <w:p w:rsidR="00481206" w:rsidRDefault="00481206" w:rsidP="00481206"/>
                  <w:p w:rsidR="00481206" w:rsidRDefault="00481206" w:rsidP="00481206">
                    <w:r>
                      <w:rPr>
                        <w:rFonts w:hint="eastAsia"/>
                      </w:rPr>
                      <w:t xml:space="preserve"> 0</w:t>
                    </w:r>
                  </w:p>
                </w:txbxContent>
              </v:textbox>
            </v:rect>
            <v:line id="_x0000_s1200" style="position:absolute;flip:x" from="5023,8943" to="5492,9758">
              <v:stroke endarrow="block"/>
            </v:line>
            <v:rect id="_x0000_s1201" style="position:absolute;left:4866;top:8263;width:1409;height:544" stroked="f">
              <v:textbox style="mso-next-textbox:#_x0000_s1201">
                <w:txbxContent>
                  <w:p w:rsidR="00481206" w:rsidRDefault="00481206" w:rsidP="00481206">
                    <w:r>
                      <w:rPr>
                        <w:rFonts w:hint="eastAsia"/>
                      </w:rPr>
                      <w:t>盈亏平衡点</w:t>
                    </w:r>
                  </w:p>
                </w:txbxContent>
              </v:textbox>
            </v:rect>
            <v:line id="_x0000_s1202" style="position:absolute;flip:y" from="4553,10030" to="5336,10845">
              <v:stroke endarrow="block"/>
            </v:line>
            <v:rect id="_x0000_s1203" style="position:absolute;left:4240;top:10981;width:1565;height:543" stroked="f">
              <v:textbox>
                <w:txbxContent>
                  <w:p w:rsidR="00481206" w:rsidRDefault="00481206" w:rsidP="00481206">
                    <w:r>
                      <w:rPr>
                        <w:rFonts w:hint="eastAsia"/>
                      </w:rPr>
                      <w:t>协定价格</w:t>
                    </w:r>
                  </w:p>
                </w:txbxContent>
              </v:textbox>
            </v:rect>
            <v:rect id="_x0000_s1204" style="position:absolute;left:7840;top:9079;width:1252;height:543" stroked="f">
              <v:textbox>
                <w:txbxContent>
                  <w:p w:rsidR="00481206" w:rsidRDefault="00481206" w:rsidP="00481206">
                    <w:r>
                      <w:rPr>
                        <w:rFonts w:hint="eastAsia"/>
                      </w:rPr>
                      <w:t>市场价格</w:t>
                    </w:r>
                  </w:p>
                </w:txbxContent>
              </v:textbox>
            </v:rect>
            <w10:wrap type="none"/>
            <w10:anchorlock/>
          </v:group>
        </w:pi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例题：我们以执行价格为40元的欧式看跌期权为例。在期权到期时，标的股票的价格若低于执行价格40元，多头必然执行期权，按40元的价格卖出股票，股票价格比40元低多少，多头就获得多少回报。若股票价格高于40元，多头必然放弃权利，在不考虑期权费的情况下，回报就为零。因此看跌期权多头的回报就是40元以上为零，40元以下则以45°向左上方延伸。</w:t>
      </w:r>
    </w:p>
    <w:p w:rsidR="00481206" w:rsidRPr="00481206" w:rsidRDefault="00EF6E22" w:rsidP="00481206">
      <w:pPr>
        <w:spacing w:line="360" w:lineRule="auto"/>
        <w:rPr>
          <w:rFonts w:ascii="宋体" w:hAnsi="宋体"/>
          <w:bCs/>
          <w:sz w:val="24"/>
        </w:rPr>
      </w:pPr>
      <w:r>
        <w:rPr>
          <w:rFonts w:ascii="宋体" w:hAnsi="宋体"/>
          <w:bCs/>
          <w:sz w:val="24"/>
        </w:rPr>
      </w:r>
      <w:r>
        <w:rPr>
          <w:rFonts w:ascii="宋体" w:hAnsi="宋体"/>
          <w:bCs/>
          <w:sz w:val="24"/>
        </w:rPr>
        <w:pict>
          <v:group id="_x0000_s1111" editas="canvas" style="width:414pt;height:241.8pt;mso-position-horizontal-relative:char;mso-position-vertical-relative:line" coordorigin="2362,7720" coordsize="7200,4212">
            <o:lock v:ext="edit" aspectratio="t"/>
            <v:shape id="_x0000_s1112" type="#_x0000_t75" style="position:absolute;left:2362;top:7720;width:7200;height:4212" o:preferrelative="f">
              <v:fill o:detectmouseclick="t"/>
              <v:path o:extrusionok="t" o:connecttype="none"/>
              <o:lock v:ext="edit" text="t"/>
            </v:shape>
            <v:line id="_x0000_s1113" style="position:absolute" from="3927,9894" to="8310,9895">
              <v:stroke endarrow="block"/>
            </v:line>
            <v:line id="_x0000_s1114" style="position:absolute;flip:y" from="3927,8128" to="3928,11524">
              <v:stroke endarrow="block"/>
            </v:line>
            <v:line id="_x0000_s1115" style="position:absolute" from="3927,8671" to="5492,9895"/>
            <v:line id="_x0000_s1116" style="position:absolute" from="5492,9894" to="8153,9895"/>
            <v:line id="_x0000_s1117" style="position:absolute" from="5492,9894" to="5492,10302">
              <v:stroke dashstyle="dashDot"/>
            </v:line>
            <v:rect id="_x0000_s1118" style="position:absolute;left:3301;top:7992;width:469;height:1223" stroked="f">
              <v:textbox style="mso-next-textbox:#_x0000_s1118">
                <w:txbxContent>
                  <w:p w:rsidR="00481206" w:rsidRDefault="00481206" w:rsidP="00481206">
                    <w:r>
                      <w:rPr>
                        <w:rFonts w:hint="eastAsia"/>
                      </w:rPr>
                      <w:t>盈亏状况</w:t>
                    </w:r>
                  </w:p>
                </w:txbxContent>
              </v:textbox>
            </v:rect>
            <v:rect id="_x0000_s1119" style="position:absolute;left:3301;top:9486;width:470;height:682" stroked="f">
              <v:textbox style="mso-next-textbox:#_x0000_s1119">
                <w:txbxContent>
                  <w:p w:rsidR="00481206" w:rsidRDefault="00481206" w:rsidP="00481206"/>
                  <w:p w:rsidR="00481206" w:rsidRDefault="00481206" w:rsidP="00481206">
                    <w:r>
                      <w:rPr>
                        <w:rFonts w:hint="eastAsia"/>
                      </w:rPr>
                      <w:t xml:space="preserve"> 0</w:t>
                    </w:r>
                  </w:p>
                </w:txbxContent>
              </v:textbox>
            </v:rect>
            <v:line id="_x0000_s1120" style="position:absolute;flip:x" from="5492,8943" to="5962,9758">
              <v:stroke endarrow="block"/>
            </v:line>
            <v:rect id="_x0000_s1121" style="position:absolute;left:5649;top:8263;width:1409;height:545" stroked="f">
              <v:textbox style="mso-next-textbox:#_x0000_s1121">
                <w:txbxContent>
                  <w:p w:rsidR="00481206" w:rsidRDefault="00481206" w:rsidP="00481206">
                    <w:r>
                      <w:rPr>
                        <w:rFonts w:hint="eastAsia"/>
                      </w:rPr>
                      <w:t>盈亏平衡点</w:t>
                    </w:r>
                  </w:p>
                </w:txbxContent>
              </v:textbox>
            </v:rect>
            <v:line id="_x0000_s1122" style="position:absolute;flip:y" from="4553,10030" to="5336,10845">
              <v:stroke endarrow="block"/>
            </v:line>
            <v:rect id="_x0000_s1123" style="position:absolute;left:4240;top:10981;width:1565;height:543" stroked="f">
              <v:textbox>
                <w:txbxContent>
                  <w:p w:rsidR="00481206" w:rsidRDefault="00481206" w:rsidP="00481206">
                    <w:r>
                      <w:rPr>
                        <w:rFonts w:hint="eastAsia"/>
                      </w:rPr>
                      <w:t>协定价格：</w:t>
                    </w:r>
                    <w:r>
                      <w:rPr>
                        <w:rFonts w:hint="eastAsia"/>
                      </w:rPr>
                      <w:t>40</w:t>
                    </w:r>
                    <w:r>
                      <w:rPr>
                        <w:rFonts w:hint="eastAsia"/>
                      </w:rPr>
                      <w:t>元</w:t>
                    </w:r>
                  </w:p>
                </w:txbxContent>
              </v:textbox>
            </v:rect>
            <v:rect id="_x0000_s1124" style="position:absolute;left:7840;top:9079;width:1252;height:543" stroked="f">
              <v:textbox>
                <w:txbxContent>
                  <w:p w:rsidR="00481206" w:rsidRDefault="00481206" w:rsidP="00481206">
                    <w:r>
                      <w:rPr>
                        <w:rFonts w:hint="eastAsia"/>
                      </w:rPr>
                      <w:t>市场价格</w:t>
                    </w:r>
                  </w:p>
                </w:txbxContent>
              </v:textbox>
            </v:rect>
            <w10:wrap type="none"/>
            <w10:anchorlock/>
          </v:group>
        </w:pi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若考虑期权费，看跌期权多头的盈亏线要向下平移，平移量也就是多头所支付的期权费。与看涨期权类似，40元仍然是看跌期权多头是否执行期权的转折点，但只有当股票价格跌到盈亏平衡点之下时，期权都头才开始盈利。</w:t>
      </w:r>
    </w:p>
    <w:p w:rsidR="00481206" w:rsidRPr="00481206" w:rsidRDefault="00EF6E22" w:rsidP="00481206">
      <w:pPr>
        <w:spacing w:line="360" w:lineRule="auto"/>
        <w:rPr>
          <w:rFonts w:ascii="宋体" w:hAnsi="宋体"/>
          <w:bCs/>
          <w:sz w:val="24"/>
        </w:rPr>
      </w:pPr>
      <w:r>
        <w:rPr>
          <w:rFonts w:ascii="宋体" w:hAnsi="宋体"/>
          <w:bCs/>
          <w:sz w:val="24"/>
        </w:rPr>
      </w:r>
      <w:r>
        <w:rPr>
          <w:rFonts w:ascii="宋体" w:hAnsi="宋体"/>
          <w:bCs/>
          <w:sz w:val="24"/>
        </w:rPr>
        <w:pict>
          <v:group id="_x0000_s1097" editas="canvas" style="width:414pt;height:241.8pt;mso-position-horizontal-relative:char;mso-position-vertical-relative:line" coordorigin="2362,7720" coordsize="7200,4212">
            <o:lock v:ext="edit" aspectratio="t"/>
            <v:shape id="_x0000_s1098" type="#_x0000_t75" style="position:absolute;left:2362;top:7720;width:7200;height:4212" o:preferrelative="f">
              <v:fill o:detectmouseclick="t"/>
              <v:path o:extrusionok="t" o:connecttype="none"/>
              <o:lock v:ext="edit" text="t"/>
            </v:shape>
            <v:line id="_x0000_s1099" style="position:absolute" from="3927,9894" to="8310,9895">
              <v:stroke endarrow="block"/>
            </v:line>
            <v:line id="_x0000_s1100" style="position:absolute;flip:y" from="3927,8128" to="3928,11524">
              <v:stroke endarrow="block"/>
            </v:line>
            <v:line id="_x0000_s1101" style="position:absolute" from="3927,9079" to="5492,10302"/>
            <v:line id="_x0000_s1102" style="position:absolute" from="5492,10302" to="8153,10303"/>
            <v:line id="_x0000_s1103" style="position:absolute" from="5492,9894" to="5492,10302">
              <v:stroke dashstyle="dashDot"/>
            </v:line>
            <v:rect id="_x0000_s1104" style="position:absolute;left:3301;top:7992;width:469;height:1223" stroked="f">
              <v:textbox style="mso-next-textbox:#_x0000_s1104">
                <w:txbxContent>
                  <w:p w:rsidR="00481206" w:rsidRDefault="00481206" w:rsidP="00481206">
                    <w:r>
                      <w:rPr>
                        <w:rFonts w:hint="eastAsia"/>
                      </w:rPr>
                      <w:t>盈亏状况</w:t>
                    </w:r>
                  </w:p>
                </w:txbxContent>
              </v:textbox>
            </v:rect>
            <v:rect id="_x0000_s1105" style="position:absolute;left:3301;top:9486;width:470;height:682" stroked="f">
              <v:textbox style="mso-next-textbox:#_x0000_s1105">
                <w:txbxContent>
                  <w:p w:rsidR="00481206" w:rsidRDefault="00481206" w:rsidP="00481206"/>
                  <w:p w:rsidR="00481206" w:rsidRDefault="00481206" w:rsidP="00481206">
                    <w:r>
                      <w:rPr>
                        <w:rFonts w:hint="eastAsia"/>
                      </w:rPr>
                      <w:t xml:space="preserve"> 0</w:t>
                    </w:r>
                  </w:p>
                </w:txbxContent>
              </v:textbox>
            </v:rect>
            <v:line id="_x0000_s1106" style="position:absolute;flip:x" from="5023,8943" to="5492,9758">
              <v:stroke endarrow="block"/>
            </v:line>
            <v:rect id="_x0000_s1107" style="position:absolute;left:5023;top:8263;width:1409;height:546" stroked="f">
              <v:textbox style="mso-next-textbox:#_x0000_s1107">
                <w:txbxContent>
                  <w:p w:rsidR="00481206" w:rsidRDefault="00481206" w:rsidP="00481206">
                    <w:r>
                      <w:rPr>
                        <w:rFonts w:hint="eastAsia"/>
                      </w:rPr>
                      <w:t>盈亏平衡点</w:t>
                    </w:r>
                  </w:p>
                </w:txbxContent>
              </v:textbox>
            </v:rect>
            <v:line id="_x0000_s1108" style="position:absolute;flip:y" from="4553,10030" to="5336,10845">
              <v:stroke endarrow="block"/>
            </v:line>
            <v:rect id="_x0000_s1109" style="position:absolute;left:4240;top:10981;width:1565;height:543" stroked="f">
              <v:textbox>
                <w:txbxContent>
                  <w:p w:rsidR="00481206" w:rsidRDefault="00481206" w:rsidP="00481206">
                    <w:r>
                      <w:rPr>
                        <w:rFonts w:hint="eastAsia"/>
                      </w:rPr>
                      <w:t>协定价格：</w:t>
                    </w:r>
                    <w:r>
                      <w:rPr>
                        <w:rFonts w:hint="eastAsia"/>
                      </w:rPr>
                      <w:t>40</w:t>
                    </w:r>
                    <w:r>
                      <w:rPr>
                        <w:rFonts w:hint="eastAsia"/>
                      </w:rPr>
                      <w:t>元</w:t>
                    </w:r>
                  </w:p>
                </w:txbxContent>
              </v:textbox>
            </v:rect>
            <v:rect id="_x0000_s1110" style="position:absolute;left:7840;top:9079;width:1252;height:543" stroked="f">
              <v:textbox>
                <w:txbxContent>
                  <w:p w:rsidR="00481206" w:rsidRDefault="00481206" w:rsidP="00481206">
                    <w:r>
                      <w:rPr>
                        <w:rFonts w:hint="eastAsia"/>
                      </w:rPr>
                      <w:t>市场价格</w:t>
                    </w:r>
                  </w:p>
                </w:txbxContent>
              </v:textbox>
            </v:rect>
            <w10:wrap type="none"/>
            <w10:anchorlock/>
          </v:group>
        </w:pi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四、卖出看跌期权</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如上所述，如果投资者预期某资产的市场价格将上涨，他可买进以该资产为标的物的看涨期权，并在市场价格上涨时通过执行其持有的看涨期权而获利。实际上，当投资者对市场价格看涨时，他还有另一种策略可以选择，即卖出看跌期权。通过卖出看跌期权，投资者可以收取期权费。日后，若价格上涨，且涨至协定价格之上，期权的购买者</w:t>
      </w:r>
      <w:r w:rsidRPr="00481206">
        <w:rPr>
          <w:rFonts w:ascii="宋体" w:hAnsi="宋体" w:hint="eastAsia"/>
          <w:bCs/>
          <w:sz w:val="24"/>
        </w:rPr>
        <w:lastRenderedPageBreak/>
        <w:t>将放弃期权，这样，看跌期权的出售者可获得期权费这一最大利润。而若市场价格下跌，且跌至协定价格之下，则因期权购买者要求执行看跌期权，期权出售者将受到损失，其损失的程度取决于市场价格下跌的幅度。如下图所示：</w:t>
      </w:r>
    </w:p>
    <w:p w:rsidR="00481206" w:rsidRPr="00481206" w:rsidRDefault="00EF6E22" w:rsidP="00481206">
      <w:pPr>
        <w:spacing w:line="360" w:lineRule="auto"/>
        <w:rPr>
          <w:rFonts w:ascii="宋体" w:hAnsi="宋体"/>
          <w:bCs/>
          <w:sz w:val="24"/>
        </w:rPr>
      </w:pPr>
      <w:r>
        <w:rPr>
          <w:rFonts w:ascii="宋体" w:hAnsi="宋体"/>
          <w:bCs/>
          <w:sz w:val="24"/>
        </w:rPr>
      </w:r>
      <w:r>
        <w:rPr>
          <w:rFonts w:ascii="宋体" w:hAnsi="宋体"/>
          <w:bCs/>
          <w:sz w:val="24"/>
        </w:rPr>
        <w:pict>
          <v:group id="_x0000_s1083" editas="canvas" style="width:414pt;height:241.8pt;mso-position-horizontal-relative:char;mso-position-vertical-relative:line" coordorigin="2362,7720" coordsize="7200,4212">
            <o:lock v:ext="edit" aspectratio="t"/>
            <v:shape id="_x0000_s1084" type="#_x0000_t75" style="position:absolute;left:2362;top:7720;width:7200;height:4212" o:preferrelative="f">
              <v:fill o:detectmouseclick="t"/>
              <v:path o:extrusionok="t" o:connecttype="none"/>
              <o:lock v:ext="edit" text="t"/>
            </v:shape>
            <v:line id="_x0000_s1085" style="position:absolute" from="3927,9894" to="8310,9895">
              <v:stroke endarrow="block"/>
            </v:line>
            <v:line id="_x0000_s1086" style="position:absolute;flip:y" from="3927,8128" to="3928,11524">
              <v:stroke endarrow="block"/>
            </v:line>
            <v:rect id="_x0000_s1087" style="position:absolute;left:3301;top:7992;width:469;height:1223" stroked="f">
              <v:textbox style="mso-next-textbox:#_x0000_s1087">
                <w:txbxContent>
                  <w:p w:rsidR="00481206" w:rsidRDefault="00481206" w:rsidP="00481206">
                    <w:r>
                      <w:rPr>
                        <w:rFonts w:hint="eastAsia"/>
                      </w:rPr>
                      <w:t>盈亏状况</w:t>
                    </w:r>
                  </w:p>
                </w:txbxContent>
              </v:textbox>
            </v:rect>
            <v:rect id="_x0000_s1088" style="position:absolute;left:3301;top:9486;width:470;height:682" stroked="f">
              <v:textbox style="mso-next-textbox:#_x0000_s1088">
                <w:txbxContent>
                  <w:p w:rsidR="00481206" w:rsidRDefault="00481206" w:rsidP="00481206"/>
                  <w:p w:rsidR="00481206" w:rsidRDefault="00481206" w:rsidP="00481206">
                    <w:r>
                      <w:rPr>
                        <w:rFonts w:hint="eastAsia"/>
                      </w:rPr>
                      <w:t xml:space="preserve"> 0</w:t>
                    </w:r>
                  </w:p>
                </w:txbxContent>
              </v:textbox>
            </v:rect>
            <v:rect id="_x0000_s1089" style="position:absolute;left:4084;top:8399;width:1409;height:546" stroked="f">
              <v:textbox style="mso-next-textbox:#_x0000_s1089">
                <w:txbxContent>
                  <w:p w:rsidR="00481206" w:rsidRDefault="00481206" w:rsidP="00481206">
                    <w:r>
                      <w:rPr>
                        <w:rFonts w:hint="eastAsia"/>
                      </w:rPr>
                      <w:t>盈亏平衡点</w:t>
                    </w:r>
                  </w:p>
                </w:txbxContent>
              </v:textbox>
            </v:rect>
            <v:rect id="_x0000_s1090" style="position:absolute;left:5023;top:10845;width:1564;height:544" stroked="f">
              <v:textbox>
                <w:txbxContent>
                  <w:p w:rsidR="00481206" w:rsidRDefault="00481206" w:rsidP="00481206">
                    <w:pPr>
                      <w:ind w:firstLineChars="150" w:firstLine="315"/>
                    </w:pPr>
                    <w:r>
                      <w:rPr>
                        <w:rFonts w:hint="eastAsia"/>
                      </w:rPr>
                      <w:t>协定价格</w:t>
                    </w:r>
                  </w:p>
                </w:txbxContent>
              </v:textbox>
            </v:rect>
            <v:rect id="_x0000_s1091" style="position:absolute;left:8310;top:9486;width:1252;height:544" stroked="f">
              <v:textbox>
                <w:txbxContent>
                  <w:p w:rsidR="00481206" w:rsidRDefault="00481206" w:rsidP="00481206">
                    <w:r>
                      <w:rPr>
                        <w:rFonts w:hint="eastAsia"/>
                      </w:rPr>
                      <w:t>市场价格</w:t>
                    </w:r>
                  </w:p>
                </w:txbxContent>
              </v:textbox>
            </v:rect>
            <v:line id="_x0000_s1092" style="position:absolute;flip:y" from="3927,9350" to="5336,10845"/>
            <v:line id="_x0000_s1093" style="position:absolute" from="5336,9350" to="7684,9350"/>
            <v:line id="_x0000_s1094" style="position:absolute" from="5336,9350" to="5336,9894">
              <v:stroke dashstyle="dashDot"/>
            </v:line>
            <v:line id="_x0000_s1095" style="position:absolute" from="4240,9215" to="4710,9758">
              <v:stroke endarrow="block"/>
            </v:line>
            <v:line id="_x0000_s1096" style="position:absolute;flip:x y" from="5492,10030" to="5805,10709">
              <v:stroke endarrow="block"/>
            </v:line>
            <w10:wrap type="none"/>
            <w10:anchorlock/>
          </v:group>
        </w:pi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根据上面的例子，欧式看跌期权空头的盈亏分布如下图所示：</w:t>
      </w:r>
    </w:p>
    <w:p w:rsidR="00481206" w:rsidRPr="00481206" w:rsidRDefault="00EF6E22" w:rsidP="00481206">
      <w:pPr>
        <w:spacing w:line="360" w:lineRule="auto"/>
        <w:rPr>
          <w:rFonts w:ascii="宋体" w:hAnsi="宋体"/>
          <w:bCs/>
          <w:sz w:val="24"/>
        </w:rPr>
      </w:pPr>
      <w:r>
        <w:rPr>
          <w:rFonts w:ascii="宋体" w:hAnsi="宋体"/>
          <w:bCs/>
          <w:sz w:val="24"/>
        </w:rPr>
      </w:r>
      <w:r>
        <w:rPr>
          <w:rFonts w:ascii="宋体" w:hAnsi="宋体"/>
          <w:bCs/>
          <w:sz w:val="24"/>
        </w:rPr>
        <w:pict>
          <v:group id="_x0000_s1069" editas="canvas" style="width:414pt;height:241.8pt;mso-position-horizontal-relative:char;mso-position-vertical-relative:line" coordorigin="2362,7720" coordsize="7200,4212">
            <o:lock v:ext="edit" aspectratio="t"/>
            <v:shape id="_x0000_s1070" type="#_x0000_t75" style="position:absolute;left:2362;top:7720;width:7200;height:4212" o:preferrelative="f">
              <v:fill o:detectmouseclick="t"/>
              <v:path o:extrusionok="t" o:connecttype="none"/>
              <o:lock v:ext="edit" text="t"/>
            </v:shape>
            <v:line id="_x0000_s1071" style="position:absolute" from="3927,9894" to="8310,9895">
              <v:stroke endarrow="block"/>
            </v:line>
            <v:line id="_x0000_s1072" style="position:absolute;flip:y" from="3927,8128" to="3928,11524">
              <v:stroke endarrow="block"/>
            </v:line>
            <v:rect id="_x0000_s1073" style="position:absolute;left:3301;top:7992;width:469;height:1223" stroked="f">
              <v:textbox style="mso-next-textbox:#_x0000_s1073">
                <w:txbxContent>
                  <w:p w:rsidR="00481206" w:rsidRDefault="00481206" w:rsidP="00481206">
                    <w:r>
                      <w:rPr>
                        <w:rFonts w:hint="eastAsia"/>
                      </w:rPr>
                      <w:t>盈亏状况</w:t>
                    </w:r>
                  </w:p>
                </w:txbxContent>
              </v:textbox>
            </v:rect>
            <v:rect id="_x0000_s1074" style="position:absolute;left:3301;top:9486;width:470;height:682" stroked="f">
              <v:textbox style="mso-next-textbox:#_x0000_s1074">
                <w:txbxContent>
                  <w:p w:rsidR="00481206" w:rsidRDefault="00481206" w:rsidP="00481206"/>
                  <w:p w:rsidR="00481206" w:rsidRDefault="00481206" w:rsidP="00481206">
                    <w:r>
                      <w:rPr>
                        <w:rFonts w:hint="eastAsia"/>
                      </w:rPr>
                      <w:t xml:space="preserve"> 0</w:t>
                    </w:r>
                  </w:p>
                </w:txbxContent>
              </v:textbox>
            </v:rect>
            <v:rect id="_x0000_s1075" style="position:absolute;left:4084;top:8399;width:1409;height:546" stroked="f">
              <v:textbox style="mso-next-textbox:#_x0000_s1075">
                <w:txbxContent>
                  <w:p w:rsidR="00481206" w:rsidRDefault="00481206" w:rsidP="00481206">
                    <w:r>
                      <w:rPr>
                        <w:rFonts w:hint="eastAsia"/>
                      </w:rPr>
                      <w:t>盈亏平衡点</w:t>
                    </w:r>
                  </w:p>
                </w:txbxContent>
              </v:textbox>
            </v:rect>
            <v:rect id="_x0000_s1076" style="position:absolute;left:5023;top:10845;width:2035;height:544" stroked="f">
              <v:textbox>
                <w:txbxContent>
                  <w:p w:rsidR="00481206" w:rsidRDefault="00481206" w:rsidP="00481206">
                    <w:pPr>
                      <w:ind w:firstLineChars="150" w:firstLine="315"/>
                    </w:pPr>
                    <w:r>
                      <w:rPr>
                        <w:rFonts w:hint="eastAsia"/>
                      </w:rPr>
                      <w:t>协定价格：</w:t>
                    </w:r>
                    <w:r>
                      <w:rPr>
                        <w:rFonts w:hint="eastAsia"/>
                      </w:rPr>
                      <w:t>40</w:t>
                    </w:r>
                    <w:r>
                      <w:rPr>
                        <w:rFonts w:hint="eastAsia"/>
                      </w:rPr>
                      <w:t>元</w:t>
                    </w:r>
                  </w:p>
                </w:txbxContent>
              </v:textbox>
            </v:rect>
            <v:rect id="_x0000_s1077" style="position:absolute;left:8310;top:9486;width:1252;height:544" stroked="f">
              <v:textbox>
                <w:txbxContent>
                  <w:p w:rsidR="00481206" w:rsidRDefault="00481206" w:rsidP="00481206">
                    <w:r>
                      <w:rPr>
                        <w:rFonts w:hint="eastAsia"/>
                      </w:rPr>
                      <w:t>市场价格</w:t>
                    </w:r>
                  </w:p>
                </w:txbxContent>
              </v:textbox>
            </v:rect>
            <v:line id="_x0000_s1078" style="position:absolute;flip:y" from="3927,9350" to="5336,10845"/>
            <v:line id="_x0000_s1079" style="position:absolute" from="5336,9350" to="7684,9350"/>
            <v:line id="_x0000_s1080" style="position:absolute" from="5336,9350" to="5336,9894">
              <v:stroke dashstyle="dashDot"/>
            </v:line>
            <v:line id="_x0000_s1081" style="position:absolute" from="4240,9215" to="4710,9758">
              <v:stroke endarrow="block"/>
            </v:line>
            <v:line id="_x0000_s1082" style="position:absolute;flip:x y" from="5492,10030" to="5805,10709">
              <v:stroke endarrow="block"/>
            </v:line>
            <w10:wrap type="none"/>
            <w10:anchorlock/>
          </v:group>
        </w:pi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从图中可以看出，看跌期权多头的亏损风险是有限的，其最大亏损程度也是期权价格；但其盈利可能并非无限，当标的资产价格为零时看跌期权多头的盈利最大，等于执行价格减去期权价格。看跌期权空方的盈亏状况与多方刚好相反，盈利为有限的期权费，亏损也是有限的，其最大限度为协议价格与期权价格之差。</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lastRenderedPageBreak/>
        <w:t>从上面的交易可以看出，期权交易的四种基本策略的特点为：</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第一，交易双方的盈利和亏损具有显著的不对称性。</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第二，期权交易也是一种零和交易。</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四种交易策略的盈亏状况有下表来表示：</w: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1896"/>
        <w:gridCol w:w="1656"/>
        <w:gridCol w:w="1656"/>
        <w:gridCol w:w="1656"/>
        <w:gridCol w:w="1656"/>
      </w:tblGrid>
      <w:tr w:rsidR="00481206" w:rsidRPr="00481206" w:rsidTr="00CF0F4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交易策略</w:t>
            </w:r>
          </w:p>
        </w:t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买进看涨期权</w:t>
            </w:r>
          </w:p>
        </w:t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卖出看涨期权</w:t>
            </w:r>
          </w:p>
        </w:t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买进看跌期权</w:t>
            </w:r>
          </w:p>
        </w:t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卖出看跌期权</w:t>
            </w:r>
          </w:p>
        </w:tc>
      </w:tr>
      <w:tr w:rsidR="00481206" w:rsidRPr="00481206" w:rsidTr="00CF0F4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市场预期</w:t>
            </w:r>
          </w:p>
        </w:t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看涨</w:t>
            </w:r>
          </w:p>
        </w:t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看跌</w:t>
            </w:r>
          </w:p>
        </w:t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看跌</w:t>
            </w:r>
          </w:p>
        </w:t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看涨</w:t>
            </w:r>
          </w:p>
        </w:tc>
      </w:tr>
      <w:tr w:rsidR="00481206" w:rsidRPr="00481206" w:rsidTr="00CF0F4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潜在利润</w:t>
            </w:r>
          </w:p>
        </w:t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无穷大</w:t>
            </w:r>
          </w:p>
        </w:t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C</w:t>
            </w:r>
          </w:p>
        </w:t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X-P</w:t>
            </w:r>
          </w:p>
        </w:t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P</w:t>
            </w:r>
          </w:p>
        </w:tc>
      </w:tr>
      <w:tr w:rsidR="00481206" w:rsidRPr="00481206" w:rsidTr="00CF0F4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潜在损失</w:t>
            </w:r>
          </w:p>
        </w:t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C</w:t>
            </w:r>
          </w:p>
        </w:t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无穷大</w:t>
            </w:r>
          </w:p>
        </w:t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P</w:t>
            </w:r>
          </w:p>
        </w:t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X-P</w:t>
            </w:r>
          </w:p>
        </w:tc>
      </w:tr>
      <w:tr w:rsidR="00481206" w:rsidRPr="00481206" w:rsidTr="00CF0F4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盈亏平衡点价格</w:t>
            </w:r>
          </w:p>
        </w:t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X+C</w:t>
            </w:r>
          </w:p>
        </w:t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X+C</w:t>
            </w:r>
          </w:p>
        </w:t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X-P</w:t>
            </w:r>
          </w:p>
        </w:tc>
        <w:tc>
          <w:tcPr>
            <w:tcW w:w="0" w:type="auto"/>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X-P</w:t>
            </w:r>
          </w:p>
        </w:tc>
      </w:tr>
    </w:tbl>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五、期权的到期回报公式</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（一）看涨期权多头</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到期回报公式为：max（S-X，0）；分析：若到期价格S高于执行价格X，多头执行期权合约获得差价，否则就放弃期权，回报为零；</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到期盈亏公式为：max（S-X，0）-c；</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（二）看涨期权空头</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到期回报公式为：-max（S-X，0）或min（X-S，0）；分析：若到期价格S高于执行价格X，多头执行期权，空头损失差价；否则多头放弃期权，空头的回报为零。</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到期盈亏公式为：-max（S-X，0）+c或min（X-S，0）+c。</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（三）看跌期权多头</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到期回报公式为：max（X-S，0）；分析，若到期价格S低于X，多头执行期权，获得差价，否则放弃期权，回报为零；</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到期盈亏公式：max（X-S，0）-p。</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（四）看跌期权空头</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到期回报公式为：-max（X-S，0）或min（S-X，0）；分析，若到期价格S低于执行价格X，多头执行期权，空头损失差价；否则多头放弃期权，空头回报为零。</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到期盈亏公式：-max（X-S，0）+p或min（S-X，0）+p</w:t>
      </w:r>
    </w:p>
    <w:p w:rsidR="00481206" w:rsidRPr="00481206" w:rsidRDefault="00481206" w:rsidP="00481206">
      <w:pPr>
        <w:spacing w:line="360" w:lineRule="auto"/>
        <w:jc w:val="center"/>
        <w:rPr>
          <w:rFonts w:ascii="宋体" w:hAnsi="宋体"/>
          <w:bCs/>
          <w:sz w:val="24"/>
        </w:rPr>
      </w:pPr>
      <w:r w:rsidRPr="00481206">
        <w:rPr>
          <w:rFonts w:ascii="宋体" w:hAnsi="宋体" w:hint="eastAsia"/>
          <w:bCs/>
          <w:sz w:val="24"/>
        </w:rPr>
        <w:t>第三节 金融期权市场的交易制度</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一、金融期权合约的标准化</w:t>
      </w:r>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凡在场内进行交易的金融期权合约都是标准化的合约。在这些标准化的合约中，交</w:t>
      </w:r>
      <w:r w:rsidRPr="00481206">
        <w:rPr>
          <w:rFonts w:ascii="宋体" w:hAnsi="宋体" w:hint="eastAsia"/>
          <w:bCs/>
          <w:sz w:val="24"/>
        </w:rPr>
        <w:lastRenderedPageBreak/>
        <w:t>易单位、最小变动价位、每日价格波动限制、协定价格、合约月份、交易时间、最后交易日、履约日等都是交易所进行统一规定。在这些规定中，有些是与金融期货中的规定相同或相似，而有些则是金融期货所特有的。</w:t>
      </w:r>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（一）交易单位</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所谓“交易单位”，也被称为“合约大小”，就是一张期权合约中标的资产的交易数量。标的资产不同，期货合约的交易单位也不一样。但即使是相同的资产的期权，在不同的交易所上市，其合约大小也是不同的。</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一般来讲，股票期权的交易单位是100股股票，指数期权的交易单位是标的指数执行价格与100美元的乘积。至于各种外汇期权的交易单位，则视交易所不同和货币种类不同而不同，例如一个英镑期权合约的交易单位为31250英镑，而欧元期权合约的交易单位则为62500欧元。</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（二）协定价格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协定价格就是指期权合约被执行时，交易双方实际买卖标的物的价格。一般来讲，当交易所准备上市某金融期权合约时，将首先根据该合约之标的物的最近收盘价，依照某一特定的形式确定一个中心协定价格，然后再根据既定的幅度设定该中心协定价格上、下各若干间距的协定价格。因此，在金融期权的合约规格中，交易所通常只规定协定价格的“间距”（intervals）。</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例如，某股指期权合约的市场价格为450点，而以该期货合约为标的物的期权合约规定，协定价格的间距为5点，则在中心协定价格为450点时，其他可能的协定价格（以点数表示）分别为430、435、440、445、455、460、465、470等。</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（三）最后交易日和履约日</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最后交易日是指某种即将到期的金融期权合约在交易所交易的最后截止日。如果期权购买者在最后交易日不再做对冲交易，则他要么放弃期权，要么在规定的时间内执行期权。</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履约日则是由期权合约所规定的，期权购买者可以实际执行该期权的日期。由于期权有欧式期权和美式期权之分 ，故不同合约的履约日各不相同。</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二、金融期权合约的基本交易制度</w:t>
      </w:r>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（一）头寸限额和执行限额</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交易所为每种期权都规定了期权交易的头寸限额（position limit），即每个投资者在市场的一方中所能持有的期权头寸的最大限额。</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lastRenderedPageBreak/>
        <w:t>与之相关的是期权的执行限额（exercise limit），即一个期权买方在规定的一段时间内所能执行的期权合约的最大限额。</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一般来讲，在连续五个工作日内的执行限额大小往往等于头寸限额。显然，交易所之所以做这样的规定，主要是为了防止某一投资者承受过大的风险或对市场有过大的操作能力。</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（二）买卖指令</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期权的买卖指令一般分为如下四种：</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1.买入建仓，即买入一个期权（可能是看涨期权或看跌期权），即建立一个新头寸；</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2.卖出建仓，即卖出一个期权（可能是看涨期权或看跌期权）；</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3.买入平仓，即买入一个期权（可能是看涨期权或看跌期权），对冲原有的空头头寸；</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4.卖出平仓，即卖出一个期权（可能是看涨期权或看跌期权），对冲原有的多头头寸；</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很显然，买入建仓是和卖出平仓相呼应的，而卖出建仓和买入平仓相呼应的。平仓指令都是用于对冲和结清现有头寸的，因为又被称为对冲指令。</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当一份期权合约正在交易时，如果交易双方都是建仓，则市场中的未平仓合约增加一份；如果其中一方是建仓而另一方是平仓，则未平仓合约数保持不变；如果双方都是对冲平仓，则为平仓合约将减少一份。</w:t>
      </w:r>
    </w:p>
    <w:p w:rsidR="00481206" w:rsidRPr="00481206" w:rsidRDefault="00481206" w:rsidP="00481206">
      <w:pPr>
        <w:spacing w:line="360" w:lineRule="auto"/>
        <w:ind w:firstLineChars="146" w:firstLine="350"/>
        <w:rPr>
          <w:rFonts w:ascii="宋体" w:hAnsi="宋体"/>
          <w:bCs/>
          <w:sz w:val="24"/>
        </w:rPr>
      </w:pPr>
      <w:r w:rsidRPr="00481206">
        <w:rPr>
          <w:rFonts w:ascii="宋体" w:hAnsi="宋体" w:hint="eastAsia"/>
          <w:bCs/>
          <w:sz w:val="24"/>
        </w:rPr>
        <w:t>（三）期权清算制度</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期权的清算一般都必须通过期权清算公司（option clearing corporation，OCC）来进行。OCC由一定数量的会员（称为清算行或清算会员）组成的，一般来说，清算会员必须满足资本的最低限额要求，并且必须提供特种基金，若有任一会员在清算时无法提供需要的资金，则可使用该基金。一般来讲，OCC的功能主要有两个方面，即期权交易的清算和期权执行的实施。</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（四）保证金制度</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金融期权中的保证金和期货合约中的保证金有所不同。最为显著的一点是，在金融期权交易中，只有期权出售者才必须缴纳保证金，而期权购买者无需缴纳保证金。之所以如此，是因为保证金的作用在于确保履约，而期权购买者却没有必须履约的义务。另外，即使是期权出售者，也并不是非以现金缴纳保证金不可。如果期权出售者出售的乃是有担保的看涨期权，即在他出售某种看涨期权时，实际拥有该期权的标的物，并预先</w:t>
      </w:r>
      <w:r w:rsidRPr="00481206">
        <w:rPr>
          <w:rFonts w:ascii="宋体" w:hAnsi="宋体" w:hint="eastAsia"/>
          <w:bCs/>
          <w:sz w:val="24"/>
        </w:rPr>
        <w:lastRenderedPageBreak/>
        <w:t>存放于经纪人处以作为履约的保证，则他也可免缴保证金。</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（五）对冲与履约</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在场内期权交易中，如果交易者不想继续持有未到期的期权部位。那么，在最后交易日或再最后交易日之前，他可随时通过反向交易来加以结清。这与金融期货交易中的对冲是完全一样的。而在金融期权的履约中，不同的期权有不同的履约方式。一般来说，除指数期权及欧洲美元期权以外的其他各种现货金融期权，在履约时，交易双方将以协定价格进行实物交割；各种指数期权及欧洲美元期权，则根据协定价格与市场价格之差实行现金结算；期货期权，则依协定价格将期权部位转化为相应的期货部位。</w:t>
      </w:r>
    </w:p>
    <w:p w:rsidR="00481206" w:rsidRPr="00481206" w:rsidRDefault="00481206" w:rsidP="00481206">
      <w:pPr>
        <w:numPr>
          <w:ilvl w:val="0"/>
          <w:numId w:val="4"/>
        </w:numPr>
        <w:tabs>
          <w:tab w:val="left" w:pos="420"/>
        </w:tabs>
        <w:spacing w:line="360" w:lineRule="auto"/>
        <w:ind w:left="0" w:firstLine="420"/>
        <w:outlineLvl w:val="1"/>
        <w:rPr>
          <w:rFonts w:ascii="宋体" w:hAnsi="宋体" w:cs="宋体"/>
          <w:bCs/>
          <w:sz w:val="24"/>
        </w:rPr>
      </w:pPr>
      <w:bookmarkStart w:id="770" w:name="_Toc444350373"/>
      <w:bookmarkStart w:id="771" w:name="_Toc474271848"/>
      <w:r w:rsidRPr="00481206">
        <w:rPr>
          <w:rFonts w:ascii="宋体" w:hAnsi="宋体" w:cs="宋体" w:hint="eastAsia"/>
          <w:bCs/>
          <w:sz w:val="24"/>
        </w:rPr>
        <w:t>第15讲，共90分钟</w:t>
      </w:r>
      <w:bookmarkEnd w:id="770"/>
      <w:bookmarkEnd w:id="771"/>
    </w:p>
    <w:p w:rsidR="00481206" w:rsidRPr="00481206" w:rsidRDefault="00481206" w:rsidP="00481206">
      <w:pPr>
        <w:ind w:left="2700"/>
        <w:rPr>
          <w:rFonts w:ascii="宋体" w:hAnsi="宋体"/>
          <w:bCs/>
          <w:sz w:val="24"/>
        </w:rPr>
      </w:pPr>
      <w:r w:rsidRPr="00481206">
        <w:rPr>
          <w:rFonts w:ascii="宋体" w:hAnsi="宋体" w:hint="eastAsia"/>
          <w:bCs/>
          <w:sz w:val="24"/>
        </w:rPr>
        <w:t>第七章 金融期权的价格特性及定价</w:t>
      </w:r>
    </w:p>
    <w:p w:rsidR="00481206" w:rsidRPr="00481206" w:rsidRDefault="00481206" w:rsidP="00481206">
      <w:pPr>
        <w:spacing w:line="360" w:lineRule="auto"/>
        <w:jc w:val="center"/>
        <w:rPr>
          <w:rFonts w:ascii="宋体" w:hAnsi="宋体"/>
          <w:bCs/>
          <w:sz w:val="24"/>
        </w:rPr>
      </w:pPr>
      <w:r w:rsidRPr="00481206">
        <w:rPr>
          <w:rFonts w:ascii="宋体" w:hAnsi="宋体" w:hint="eastAsia"/>
          <w:bCs/>
          <w:sz w:val="24"/>
        </w:rPr>
        <w:t>第一节 金融期权的价格特性</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一、金融期权的内在价值</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（一）存续期内无收益资产的内在价值</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所谓“内在价值”（intrinsic value），也称“履约价值”（exercise value），是指期权合约本身具有的价值，也就是期权购买者如果立即执行该期权所能获得的收益。</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比如：一种股票的市场价格为每股30元，而以该股票为标的物的看涨期权的协定价格为每股20元，如果这一看涨期权的交易单位为100股该种股票，那么它的购买者只要执行期权，即可获得1000元的收益，这1000元的收益就是这一看涨期权的内在价值或履约价值。</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由此可见，一种期权有无内在价值及内在价值的大小，取决于该期权协定价格与其标的物的市场价格的关系。而协定价格与市场价格的关系可分为三种不同的情况，即实值、虚值和平价。</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所谓“实值”（in-the-value），是指期权的内在价值为正；</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所谓“虚值”（out-the-value），是指期权的内在价值为负；</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所谓“平价”（at-the-value），是指期权的内在价值为零。</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所以，对于看涨期权而言，市场价格高于协定价格为实值，市场价格低于协定价格为虚值；对于看跌期权而言，市场价格低于协定价格为实值，市场价格高于协定价格为虚值；若市场价格等于协定价格，则无论看涨期权还是看跌期权，都是平价。</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如果以X表示期权合约的协定价格，S表示期权之标的物的市场价格，则实值、虚值和平价这三种情况如下表所示：</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2122"/>
        <w:gridCol w:w="3583"/>
        <w:gridCol w:w="3583"/>
      </w:tblGrid>
      <w:tr w:rsidR="00481206" w:rsidRPr="00481206" w:rsidTr="00CF0F4C">
        <w:tc>
          <w:tcPr>
            <w:tcW w:w="1142" w:type="pct"/>
            <w:vAlign w:val="center"/>
          </w:tcPr>
          <w:p w:rsidR="00481206" w:rsidRPr="00481206" w:rsidRDefault="00481206" w:rsidP="00CF0F4C">
            <w:pPr>
              <w:spacing w:line="360" w:lineRule="auto"/>
              <w:jc w:val="center"/>
              <w:rPr>
                <w:rFonts w:ascii="宋体" w:hAnsi="宋体"/>
                <w:bCs/>
                <w:sz w:val="24"/>
              </w:rPr>
            </w:pPr>
          </w:p>
        </w:tc>
        <w:tc>
          <w:tcPr>
            <w:tcW w:w="1929"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看涨期权</w:t>
            </w:r>
          </w:p>
        </w:tc>
        <w:tc>
          <w:tcPr>
            <w:tcW w:w="1929"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看跌期权</w:t>
            </w:r>
          </w:p>
        </w:tc>
      </w:tr>
      <w:tr w:rsidR="00481206" w:rsidRPr="00481206" w:rsidTr="00CF0F4C">
        <w:tc>
          <w:tcPr>
            <w:tcW w:w="1142"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实值</w:t>
            </w:r>
          </w:p>
        </w:tc>
        <w:tc>
          <w:tcPr>
            <w:tcW w:w="1929"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S大于X</w:t>
            </w:r>
          </w:p>
        </w:tc>
        <w:tc>
          <w:tcPr>
            <w:tcW w:w="1929"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S小于X</w:t>
            </w:r>
          </w:p>
        </w:tc>
      </w:tr>
      <w:tr w:rsidR="00481206" w:rsidRPr="00481206" w:rsidTr="00CF0F4C">
        <w:tc>
          <w:tcPr>
            <w:tcW w:w="1142"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虚值</w:t>
            </w:r>
          </w:p>
        </w:tc>
        <w:tc>
          <w:tcPr>
            <w:tcW w:w="1929"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S小于X</w:t>
            </w:r>
          </w:p>
        </w:tc>
        <w:tc>
          <w:tcPr>
            <w:tcW w:w="1929"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S大于X</w:t>
            </w:r>
          </w:p>
        </w:tc>
      </w:tr>
      <w:tr w:rsidR="00481206" w:rsidRPr="00481206" w:rsidTr="00CF0F4C">
        <w:tc>
          <w:tcPr>
            <w:tcW w:w="1142"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平价</w:t>
            </w:r>
          </w:p>
        </w:tc>
        <w:tc>
          <w:tcPr>
            <w:tcW w:w="1929"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S等于X</w:t>
            </w:r>
          </w:p>
        </w:tc>
        <w:tc>
          <w:tcPr>
            <w:tcW w:w="1929" w:type="pct"/>
            <w:vAlign w:val="center"/>
          </w:tcPr>
          <w:p w:rsidR="00481206" w:rsidRPr="00481206" w:rsidRDefault="00481206" w:rsidP="00CF0F4C">
            <w:pPr>
              <w:spacing w:line="360" w:lineRule="auto"/>
              <w:jc w:val="center"/>
              <w:rPr>
                <w:rFonts w:ascii="宋体" w:hAnsi="宋体"/>
                <w:bCs/>
                <w:sz w:val="24"/>
              </w:rPr>
            </w:pPr>
            <w:r w:rsidRPr="00481206">
              <w:rPr>
                <w:rFonts w:ascii="宋体" w:hAnsi="宋体" w:hint="eastAsia"/>
                <w:bCs/>
                <w:sz w:val="24"/>
              </w:rPr>
              <w:t>S等于X</w:t>
            </w:r>
          </w:p>
        </w:tc>
      </w:tr>
    </w:tbl>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虽然从理论上来讲，实值期权的内在价值为正，虚值期权的内在价值为负，而平价期权的内在价值为零。但从实际来看，无论是看涨期权，还是看跌期权，也无论期权之标的物的市场价格处于什么水平，期权的内在价值或履约价值都必然大于零或者等于零，而不可能小于零。之所以如此，是因为对于期权购买者来说，任何期权合约都只是赋予了他可以行使的权利，而没有规定他必须履行的义务。一般的说，只有当期权有正的内在价值时，期权购买者才愿意执行期权，因为他通过执行期权可以获利，而相反，当期权无内在价值或内在价值为负时，期权购买者将放弃期权，因为如果执行期权，他将无利可图，甚至遭到损失。</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由此可见，期权的内在价值虽然决定于市场价格与协定价格的关系，但它在任何情况下都不可能为负值。如果我们以E表示内在价值，以X表示期权合约的协定价格，以S表示期权之标的物的市场价格，以m表示期权合约的交易单位，那么对于每一个看涨期权来说：</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30"/>
          <w:sz w:val="24"/>
        </w:rPr>
        <w:object w:dxaOrig="2500" w:dyaOrig="720">
          <v:shape id="_x0000_i1316" type="#_x0000_t75" style="width:125.25pt;height:36pt" o:ole="">
            <v:imagedata r:id="rId537" o:title=""/>
          </v:shape>
          <o:OLEObject Type="Embed" ProgID="Equation.3" ShapeID="_x0000_i1316" DrawAspect="Content" ObjectID="_1550061584" r:id="rId538"/>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相反，对于每一个看跌期权来讲：</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30"/>
          <w:sz w:val="24"/>
        </w:rPr>
        <w:object w:dxaOrig="2500" w:dyaOrig="720">
          <v:shape id="_x0000_i1317" type="#_x0000_t75" style="width:125.25pt;height:36pt" o:ole="">
            <v:imagedata r:id="rId539" o:title=""/>
          </v:shape>
          <o:OLEObject Type="Embed" ProgID="Equation.3" ShapeID="_x0000_i1317" DrawAspect="Content" ObjectID="_1550061585" r:id="rId540"/>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因此看涨期权的内在价值可以表示为：max（S-X，0）；</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看跌期权的内在价值可以表示为：max（X-S，0）。</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如果期权的内在价值在当前来计算，就需要对未来协议价格进行贴现，则这时，欧式看涨期权的内在价值为：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2000" w:dyaOrig="360">
          <v:shape id="_x0000_i1318" type="#_x0000_t75" style="width:99.75pt;height:18pt" o:ole="">
            <v:imagedata r:id="rId541" o:title=""/>
          </v:shape>
          <o:OLEObject Type="Embed" ProgID="Equation.3" ShapeID="_x0000_i1318" DrawAspect="Content" ObjectID="_1550061586" r:id="rId542"/>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欧式看跌期权的内在价值为：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2000" w:dyaOrig="360">
          <v:shape id="_x0000_i1319" type="#_x0000_t75" style="width:99.75pt;height:18pt" o:ole="">
            <v:imagedata r:id="rId543" o:title=""/>
          </v:shape>
          <o:OLEObject Type="Embed" ProgID="Equation.3" ShapeID="_x0000_i1319" DrawAspect="Content" ObjectID="_1550061587" r:id="rId544"/>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上面的S是欧式期权到期时标的资产价格到当前的贴现值，注意与上面的区别。</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lastRenderedPageBreak/>
        <w:t>（二）存续期内有收益资产的内在价值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这里只讨论期权当前内在价值的计算。假定D表示在期权的有效期内标的资产所获得现金收益至当前的贴现值，S为标的资产当前的市价，因此有收益资产看涨期权的内在价值为：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2400" w:dyaOrig="360">
          <v:shape id="_x0000_i1320" type="#_x0000_t75" style="width:120pt;height:18pt" o:ole="">
            <v:imagedata r:id="rId545" o:title=""/>
          </v:shape>
          <o:OLEObject Type="Embed" ProgID="Equation.3" ShapeID="_x0000_i1320" DrawAspect="Content" ObjectID="_1550061588" r:id="rId546"/>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有收益资产看跌期权的内在价值为：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2560" w:dyaOrig="360">
          <v:shape id="_x0000_i1321" type="#_x0000_t75" style="width:128.25pt;height:18pt" o:ole="">
            <v:imagedata r:id="rId547" o:title=""/>
          </v:shape>
          <o:OLEObject Type="Embed" ProgID="Equation.3" ShapeID="_x0000_i1321" DrawAspect="Content" ObjectID="_1550061589" r:id="rId548"/>
        </w:objec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（三）存续期内有收益资产的美式期权的内在价值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美式期权具有提前执行的权利，因此其内在价值与欧式期权存在不同。假定S为标的资产当前的市价，</w:t>
      </w:r>
      <w:r w:rsidRPr="00481206">
        <w:rPr>
          <w:rFonts w:ascii="宋体" w:hAnsi="宋体"/>
          <w:bCs/>
          <w:position w:val="-12"/>
          <w:sz w:val="24"/>
        </w:rPr>
        <w:object w:dxaOrig="340" w:dyaOrig="360">
          <v:shape id="_x0000_i1322" type="#_x0000_t75" style="width:17.25pt;height:18pt" o:ole="">
            <v:imagedata r:id="rId549" o:title=""/>
          </v:shape>
          <o:OLEObject Type="Embed" ProgID="Equation.3" ShapeID="_x0000_i1322" DrawAspect="Content" ObjectID="_1550061590" r:id="rId550"/>
        </w:object>
      </w:r>
      <w:r w:rsidRPr="00481206">
        <w:rPr>
          <w:rFonts w:ascii="宋体" w:hAnsi="宋体" w:hint="eastAsia"/>
          <w:bCs/>
          <w:sz w:val="24"/>
        </w:rPr>
        <w:t>是</w:t>
      </w:r>
      <w:r w:rsidRPr="00481206">
        <w:rPr>
          <w:rFonts w:ascii="宋体" w:hAnsi="宋体"/>
          <w:bCs/>
          <w:position w:val="-6"/>
          <w:sz w:val="24"/>
        </w:rPr>
        <w:object w:dxaOrig="200" w:dyaOrig="220">
          <v:shape id="_x0000_i1323" type="#_x0000_t75" style="width:9.75pt;height:11.25pt" o:ole="">
            <v:imagedata r:id="rId551" o:title=""/>
          </v:shape>
          <o:OLEObject Type="Embed" ProgID="Equation.3" ShapeID="_x0000_i1323" DrawAspect="Content" ObjectID="_1550061591" r:id="rId552"/>
        </w:object>
      </w:r>
      <w:r w:rsidRPr="00481206">
        <w:rPr>
          <w:rFonts w:ascii="宋体" w:hAnsi="宋体" w:hint="eastAsia"/>
          <w:bCs/>
          <w:sz w:val="24"/>
        </w:rPr>
        <w:t>时刻前已经支付的现金收益的现值，</w:t>
      </w:r>
      <w:r w:rsidRPr="00481206">
        <w:rPr>
          <w:rFonts w:ascii="宋体" w:hAnsi="宋体"/>
          <w:bCs/>
          <w:position w:val="-6"/>
          <w:sz w:val="24"/>
        </w:rPr>
        <w:object w:dxaOrig="200" w:dyaOrig="220">
          <v:shape id="_x0000_i1324" type="#_x0000_t75" style="width:9.75pt;height:11.25pt" o:ole="">
            <v:imagedata r:id="rId553" o:title=""/>
          </v:shape>
          <o:OLEObject Type="Embed" ProgID="Equation.3" ShapeID="_x0000_i1324" DrawAspect="Content" ObjectID="_1550061592" r:id="rId554"/>
        </w:object>
      </w:r>
      <w:r w:rsidRPr="00481206">
        <w:rPr>
          <w:rFonts w:ascii="宋体" w:hAnsi="宋体" w:hint="eastAsia"/>
          <w:bCs/>
          <w:sz w:val="24"/>
        </w:rPr>
        <w:t>时刻执行价格的现值为</w:t>
      </w:r>
      <w:r w:rsidRPr="00481206">
        <w:rPr>
          <w:rFonts w:ascii="宋体" w:hAnsi="宋体"/>
          <w:bCs/>
          <w:position w:val="-6"/>
          <w:sz w:val="24"/>
        </w:rPr>
        <w:object w:dxaOrig="900" w:dyaOrig="320">
          <v:shape id="_x0000_i1325" type="#_x0000_t75" style="width:45pt;height:15.75pt" o:ole="">
            <v:imagedata r:id="rId555" o:title=""/>
          </v:shape>
          <o:OLEObject Type="Embed" ProgID="Equation.3" ShapeID="_x0000_i1325" DrawAspect="Content" ObjectID="_1550061593" r:id="rId556"/>
        </w:object>
      </w:r>
      <w:r w:rsidRPr="00481206">
        <w:rPr>
          <w:rFonts w:ascii="宋体" w:hAnsi="宋体" w:hint="eastAsia"/>
          <w:bCs/>
          <w:sz w:val="24"/>
        </w:rPr>
        <w:t>，</w:t>
      </w:r>
      <w:r w:rsidRPr="00481206">
        <w:rPr>
          <w:rFonts w:ascii="宋体" w:hAnsi="宋体"/>
          <w:bCs/>
          <w:position w:val="-12"/>
          <w:sz w:val="24"/>
        </w:rPr>
        <w:object w:dxaOrig="220" w:dyaOrig="360">
          <v:shape id="_x0000_i1326" type="#_x0000_t75" style="width:11.25pt;height:18pt" o:ole="">
            <v:imagedata r:id="rId557" o:title=""/>
          </v:shape>
          <o:OLEObject Type="Embed" ProgID="Equation.3" ShapeID="_x0000_i1326" DrawAspect="Content" ObjectID="_1550061594" r:id="rId558"/>
        </w:object>
      </w:r>
      <w:r w:rsidRPr="00481206">
        <w:rPr>
          <w:rFonts w:ascii="宋体" w:hAnsi="宋体" w:hint="eastAsia"/>
          <w:bCs/>
          <w:sz w:val="24"/>
        </w:rPr>
        <w:t>为当前时刻t到未来</w:t>
      </w:r>
      <w:r w:rsidRPr="00481206">
        <w:rPr>
          <w:rFonts w:ascii="宋体" w:hAnsi="宋体"/>
          <w:bCs/>
          <w:position w:val="-6"/>
          <w:sz w:val="24"/>
        </w:rPr>
        <w:object w:dxaOrig="200" w:dyaOrig="220">
          <v:shape id="_x0000_i1327" type="#_x0000_t75" style="width:9.75pt;height:11.25pt" o:ole="">
            <v:imagedata r:id="rId551" o:title=""/>
          </v:shape>
          <o:OLEObject Type="Embed" ProgID="Equation.3" ShapeID="_x0000_i1327" DrawAspect="Content" ObjectID="_1550061595" r:id="rId559"/>
        </w:object>
      </w:r>
      <w:r w:rsidRPr="00481206">
        <w:rPr>
          <w:rFonts w:ascii="宋体" w:hAnsi="宋体" w:hint="eastAsia"/>
          <w:bCs/>
          <w:sz w:val="24"/>
        </w:rPr>
        <w:t>时刻的无风险利率，这里的</w:t>
      </w:r>
      <w:r w:rsidRPr="00481206">
        <w:rPr>
          <w:rFonts w:ascii="宋体" w:hAnsi="宋体"/>
          <w:bCs/>
          <w:position w:val="-6"/>
          <w:sz w:val="24"/>
        </w:rPr>
        <w:object w:dxaOrig="200" w:dyaOrig="220">
          <v:shape id="_x0000_i1328" type="#_x0000_t75" style="width:9.75pt;height:11.25pt" o:ole="">
            <v:imagedata r:id="rId551" o:title=""/>
          </v:shape>
          <o:OLEObject Type="Embed" ProgID="Equation.3" ShapeID="_x0000_i1328" DrawAspect="Content" ObjectID="_1550061596" r:id="rId560"/>
        </w:object>
      </w:r>
      <w:r w:rsidRPr="00481206">
        <w:rPr>
          <w:rFonts w:ascii="宋体" w:hAnsi="宋体" w:hint="eastAsia"/>
          <w:bCs/>
          <w:sz w:val="24"/>
        </w:rPr>
        <w:t>时刻指美式期权执行的时刻，因此美式看涨期权的内在价值公式为：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2"/>
          <w:sz w:val="24"/>
        </w:rPr>
        <w:object w:dxaOrig="2540" w:dyaOrig="380">
          <v:shape id="_x0000_i1329" type="#_x0000_t75" style="width:126.75pt;height:18.75pt" o:ole="">
            <v:imagedata r:id="rId561" o:title=""/>
          </v:shape>
          <o:OLEObject Type="Embed" ProgID="Equation.3" ShapeID="_x0000_i1329" DrawAspect="Content" ObjectID="_1550061597" r:id="rId562"/>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美式看跌期权的内在价值为：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2"/>
          <w:sz w:val="24"/>
        </w:rPr>
        <w:object w:dxaOrig="2720" w:dyaOrig="380">
          <v:shape id="_x0000_i1330" type="#_x0000_t75" style="width:135.75pt;height:18.75pt" o:ole="">
            <v:imagedata r:id="rId563" o:title=""/>
          </v:shape>
          <o:OLEObject Type="Embed" ProgID="Equation.3" ShapeID="_x0000_i1330" DrawAspect="Content" ObjectID="_1550061598" r:id="rId564"/>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如果存续期内没有收益的资产，则美式看涨期权的内在价值为：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2040" w:dyaOrig="360">
          <v:shape id="_x0000_i1331" type="#_x0000_t75" style="width:102pt;height:18pt" o:ole="">
            <v:imagedata r:id="rId565" o:title=""/>
          </v:shape>
          <o:OLEObject Type="Embed" ProgID="Equation.3" ShapeID="_x0000_i1331" DrawAspect="Content" ObjectID="_1550061599" r:id="rId566"/>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美式看跌期权的内在价值为：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2040" w:dyaOrig="360">
          <v:shape id="_x0000_i1332" type="#_x0000_t75" style="width:102pt;height:18pt" o:ole="">
            <v:imagedata r:id="rId567" o:title=""/>
          </v:shape>
          <o:OLEObject Type="Embed" ProgID="Equation.3" ShapeID="_x0000_i1332" DrawAspect="Content" ObjectID="_1550061600" r:id="rId568"/>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例题：2007年8月31日，1份通用电气公司股票为标的资产、执行价格为40美元、到期日为2007年9月22日的美式看涨期权价格为0.35美元，美式看跌期权价格为1.76美元，而同一天的通用电气公司股票收盘价为38.5美元，通用电气公司2007年每季度的股息为0.28美元，第三季度股息除权日为9月20日，股息发放日为10月25日。假定无风险利率为4%。</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如果多头看涨期权在9月19日执行（提前执行），则期权的内在价值为：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6399" w:dyaOrig="540">
          <v:shape id="_x0000_i1333" type="#_x0000_t75" style="width:320.25pt;height:27pt" o:ole="">
            <v:imagedata r:id="rId569" o:title=""/>
          </v:shape>
          <o:OLEObject Type="Embed" ProgID="Equation.3" ShapeID="_x0000_i1333" DrawAspect="Content" ObjectID="_1550061601" r:id="rId570"/>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如果多头看涨期权不提前执行，则期权的内在价值为：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8320" w:dyaOrig="540">
          <v:shape id="_x0000_i1334" type="#_x0000_t75" style="width:416.25pt;height:27pt" o:ole="">
            <v:imagedata r:id="rId571" o:title=""/>
          </v:shape>
          <o:OLEObject Type="Embed" ProgID="Equation.3" ShapeID="_x0000_i1334" DrawAspect="Content" ObjectID="_1550061602" r:id="rId572"/>
        </w:object>
      </w:r>
      <w:r w:rsidRPr="00481206">
        <w:rPr>
          <w:rFonts w:ascii="宋体" w:hAnsi="宋体" w:hint="eastAsia"/>
          <w:bCs/>
          <w:sz w:val="24"/>
        </w:rPr>
        <w:t xml:space="preserve">    而看跌期权的内在价值也取决于是否要提前执行，如果在8月31日立即执行，则看跌期权的内在价值为：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5060" w:dyaOrig="320">
          <v:shape id="_x0000_i1335" type="#_x0000_t75" style="width:252.75pt;height:15.75pt" o:ole="">
            <v:imagedata r:id="rId573" o:title=""/>
          </v:shape>
          <o:OLEObject Type="Embed" ProgID="Equation.3" ShapeID="_x0000_i1335" DrawAspect="Content" ObjectID="_1550061603" r:id="rId574"/>
        </w:object>
      </w:r>
      <w:r w:rsidRPr="00481206">
        <w:rPr>
          <w:rFonts w:ascii="宋体" w:hAnsi="宋体" w:hint="eastAsia"/>
          <w:bCs/>
          <w:sz w:val="24"/>
        </w:rPr>
        <w:t>（美元）</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如果持有至9月19日执行，则内在价值为：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6640" w:dyaOrig="540">
          <v:shape id="_x0000_i1336" type="#_x0000_t75" style="width:332.25pt;height:27pt" o:ole="">
            <v:imagedata r:id="rId575" o:title=""/>
          </v:shape>
          <o:OLEObject Type="Embed" ProgID="Equation.3" ShapeID="_x0000_i1336" DrawAspect="Content" ObjectID="_1550061604" r:id="rId576"/>
        </w:object>
      </w:r>
      <w:r w:rsidRPr="00481206">
        <w:rPr>
          <w:rFonts w:ascii="宋体" w:hAnsi="宋体" w:hint="eastAsia"/>
          <w:bCs/>
          <w:sz w:val="24"/>
        </w:rPr>
        <w:t>（美元）</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如果持有至9月20日执行，则内在价值为：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2"/>
          <w:sz w:val="24"/>
        </w:rPr>
        <w:object w:dxaOrig="8840" w:dyaOrig="560">
          <v:shape id="_x0000_i1337" type="#_x0000_t75" style="width:441.75pt;height:27.75pt" o:ole="">
            <v:imagedata r:id="rId577" o:title=""/>
          </v:shape>
          <o:OLEObject Type="Embed" ProgID="Equation.3" ShapeID="_x0000_i1337" DrawAspect="Content" ObjectID="_1550061605" r:id="rId578"/>
        </w:object>
      </w:r>
      <w:r w:rsidRPr="00481206">
        <w:rPr>
          <w:rFonts w:ascii="宋体" w:hAnsi="宋体" w:hint="eastAsia"/>
          <w:bCs/>
          <w:sz w:val="24"/>
        </w:rPr>
        <w:t xml:space="preserve">    由此可以看出，美式期权的内在价值取决于执行的时间。</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（四）存续期内有收益资产的实值期权、平价期权和虚值期权（从当前来看）</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实值期权、平价期权和虚值期权的概念前面已经介绍，即内在价值分别为正、零和负的期权。</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1.欧式看涨期权</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实值期权：</w:t>
      </w:r>
      <w:r w:rsidRPr="00481206">
        <w:rPr>
          <w:rFonts w:ascii="宋体" w:hAnsi="宋体"/>
          <w:bCs/>
          <w:position w:val="-6"/>
          <w:sz w:val="24"/>
        </w:rPr>
        <w:object w:dxaOrig="1680" w:dyaOrig="320">
          <v:shape id="_x0000_i1338" type="#_x0000_t75" style="width:84pt;height:15.75pt" o:ole="">
            <v:imagedata r:id="rId579" o:title=""/>
          </v:shape>
          <o:OLEObject Type="Embed" ProgID="Equation.3" ShapeID="_x0000_i1338" DrawAspect="Content" ObjectID="_1550061606" r:id="rId580"/>
        </w:object>
      </w:r>
      <w:r w:rsidRPr="00481206">
        <w:rPr>
          <w:rFonts w:ascii="宋体" w:hAnsi="宋体" w:hint="eastAsia"/>
          <w:bCs/>
          <w:sz w:val="24"/>
        </w:rPr>
        <w:t>；</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平价期权：</w:t>
      </w:r>
      <w:r w:rsidRPr="00481206">
        <w:rPr>
          <w:rFonts w:ascii="宋体" w:hAnsi="宋体"/>
          <w:bCs/>
          <w:position w:val="-6"/>
          <w:sz w:val="24"/>
        </w:rPr>
        <w:object w:dxaOrig="1680" w:dyaOrig="320">
          <v:shape id="_x0000_i1339" type="#_x0000_t75" style="width:84pt;height:15.75pt" o:ole="">
            <v:imagedata r:id="rId581" o:title=""/>
          </v:shape>
          <o:OLEObject Type="Embed" ProgID="Equation.3" ShapeID="_x0000_i1339" DrawAspect="Content" ObjectID="_1550061607" r:id="rId582"/>
        </w:object>
      </w:r>
      <w:r w:rsidRPr="00481206">
        <w:rPr>
          <w:rFonts w:ascii="宋体" w:hAnsi="宋体" w:hint="eastAsia"/>
          <w:bCs/>
          <w:sz w:val="24"/>
        </w:rPr>
        <w:t>；</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虚值期权：</w:t>
      </w:r>
      <w:r w:rsidRPr="00481206">
        <w:rPr>
          <w:rFonts w:ascii="宋体" w:hAnsi="宋体"/>
          <w:bCs/>
          <w:position w:val="-6"/>
          <w:sz w:val="24"/>
        </w:rPr>
        <w:object w:dxaOrig="1680" w:dyaOrig="320">
          <v:shape id="_x0000_i1340" type="#_x0000_t75" style="width:84pt;height:15.75pt" o:ole="">
            <v:imagedata r:id="rId583" o:title=""/>
          </v:shape>
          <o:OLEObject Type="Embed" ProgID="Equation.3" ShapeID="_x0000_i1340" DrawAspect="Content" ObjectID="_1550061608" r:id="rId584"/>
        </w:object>
      </w:r>
      <w:r w:rsidRPr="00481206">
        <w:rPr>
          <w:rFonts w:ascii="宋体" w:hAnsi="宋体" w:hint="eastAsia"/>
          <w:bCs/>
          <w:sz w:val="24"/>
        </w:rPr>
        <w:t>；</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2.欧式看跌期权</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实值期权：</w:t>
      </w:r>
      <w:r w:rsidRPr="00481206">
        <w:rPr>
          <w:rFonts w:ascii="宋体" w:hAnsi="宋体"/>
          <w:bCs/>
          <w:position w:val="-6"/>
          <w:sz w:val="24"/>
        </w:rPr>
        <w:object w:dxaOrig="1680" w:dyaOrig="320">
          <v:shape id="_x0000_i1341" type="#_x0000_t75" style="width:84pt;height:15.75pt" o:ole="">
            <v:imagedata r:id="rId585" o:title=""/>
          </v:shape>
          <o:OLEObject Type="Embed" ProgID="Equation.3" ShapeID="_x0000_i1341" DrawAspect="Content" ObjectID="_1550061609" r:id="rId586"/>
        </w:object>
      </w:r>
      <w:r w:rsidRPr="00481206">
        <w:rPr>
          <w:rFonts w:ascii="宋体" w:hAnsi="宋体" w:hint="eastAsia"/>
          <w:bCs/>
          <w:sz w:val="24"/>
        </w:rPr>
        <w:t>；</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平价期权：</w:t>
      </w:r>
      <w:r w:rsidRPr="00481206">
        <w:rPr>
          <w:rFonts w:ascii="宋体" w:hAnsi="宋体"/>
          <w:bCs/>
          <w:position w:val="-6"/>
          <w:sz w:val="24"/>
        </w:rPr>
        <w:object w:dxaOrig="1680" w:dyaOrig="320">
          <v:shape id="_x0000_i1342" type="#_x0000_t75" style="width:84pt;height:15.75pt" o:ole="">
            <v:imagedata r:id="rId587" o:title=""/>
          </v:shape>
          <o:OLEObject Type="Embed" ProgID="Equation.3" ShapeID="_x0000_i1342" DrawAspect="Content" ObjectID="_1550061610" r:id="rId588"/>
        </w:object>
      </w:r>
      <w:r w:rsidRPr="00481206">
        <w:rPr>
          <w:rFonts w:ascii="宋体" w:hAnsi="宋体" w:hint="eastAsia"/>
          <w:bCs/>
          <w:sz w:val="24"/>
        </w:rPr>
        <w:t>；</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虚值期权：</w:t>
      </w:r>
      <w:r w:rsidRPr="00481206">
        <w:rPr>
          <w:rFonts w:ascii="宋体" w:hAnsi="宋体"/>
          <w:bCs/>
          <w:position w:val="-6"/>
          <w:sz w:val="24"/>
        </w:rPr>
        <w:object w:dxaOrig="1680" w:dyaOrig="320">
          <v:shape id="_x0000_i1343" type="#_x0000_t75" style="width:84pt;height:15.75pt" o:ole="">
            <v:imagedata r:id="rId579" o:title=""/>
          </v:shape>
          <o:OLEObject Type="Embed" ProgID="Equation.3" ShapeID="_x0000_i1343" DrawAspect="Content" ObjectID="_1550061611" r:id="rId589"/>
        </w:object>
      </w:r>
      <w:r w:rsidRPr="00481206">
        <w:rPr>
          <w:rFonts w:ascii="宋体" w:hAnsi="宋体" w:hint="eastAsia"/>
          <w:bCs/>
          <w:sz w:val="24"/>
        </w:rPr>
        <w:t>；</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3.美式看涨期权</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实值期权：</w:t>
      </w:r>
      <w:r w:rsidRPr="00481206">
        <w:rPr>
          <w:rFonts w:ascii="宋体" w:hAnsi="宋体"/>
          <w:bCs/>
          <w:position w:val="-12"/>
          <w:sz w:val="24"/>
        </w:rPr>
        <w:object w:dxaOrig="1800" w:dyaOrig="380">
          <v:shape id="_x0000_i1344" type="#_x0000_t75" style="width:90pt;height:18.75pt" o:ole="">
            <v:imagedata r:id="rId590" o:title=""/>
          </v:shape>
          <o:OLEObject Type="Embed" ProgID="Equation.3" ShapeID="_x0000_i1344" DrawAspect="Content" ObjectID="_1550061612" r:id="rId591"/>
        </w:object>
      </w:r>
      <w:r w:rsidRPr="00481206">
        <w:rPr>
          <w:rFonts w:ascii="宋体" w:hAnsi="宋体" w:hint="eastAsia"/>
          <w:bCs/>
          <w:sz w:val="24"/>
        </w:rPr>
        <w:t>；</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平价期权：</w:t>
      </w:r>
      <w:r w:rsidRPr="00481206">
        <w:rPr>
          <w:rFonts w:ascii="宋体" w:hAnsi="宋体"/>
          <w:bCs/>
          <w:position w:val="-12"/>
          <w:sz w:val="24"/>
        </w:rPr>
        <w:object w:dxaOrig="1800" w:dyaOrig="380">
          <v:shape id="_x0000_i1345" type="#_x0000_t75" style="width:90pt;height:18.75pt" o:ole="">
            <v:imagedata r:id="rId592" o:title=""/>
          </v:shape>
          <o:OLEObject Type="Embed" ProgID="Equation.3" ShapeID="_x0000_i1345" DrawAspect="Content" ObjectID="_1550061613" r:id="rId593"/>
        </w:object>
      </w:r>
      <w:r w:rsidRPr="00481206">
        <w:rPr>
          <w:rFonts w:ascii="宋体" w:hAnsi="宋体" w:hint="eastAsia"/>
          <w:bCs/>
          <w:sz w:val="24"/>
        </w:rPr>
        <w:t>；</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虚值期权：</w:t>
      </w:r>
      <w:r w:rsidRPr="00481206">
        <w:rPr>
          <w:rFonts w:ascii="宋体" w:hAnsi="宋体"/>
          <w:bCs/>
          <w:position w:val="-12"/>
          <w:sz w:val="24"/>
        </w:rPr>
        <w:object w:dxaOrig="1800" w:dyaOrig="380">
          <v:shape id="_x0000_i1346" type="#_x0000_t75" style="width:90pt;height:18.75pt" o:ole="">
            <v:imagedata r:id="rId594" o:title=""/>
          </v:shape>
          <o:OLEObject Type="Embed" ProgID="Equation.3" ShapeID="_x0000_i1346" DrawAspect="Content" ObjectID="_1550061614" r:id="rId595"/>
        </w:object>
      </w:r>
      <w:r w:rsidRPr="00481206">
        <w:rPr>
          <w:rFonts w:ascii="宋体" w:hAnsi="宋体" w:hint="eastAsia"/>
          <w:bCs/>
          <w:sz w:val="24"/>
        </w:rPr>
        <w:t>；</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4.美式看跌期权</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lastRenderedPageBreak/>
        <w:t>实值期权：</w:t>
      </w:r>
      <w:r w:rsidRPr="00481206">
        <w:rPr>
          <w:rFonts w:ascii="宋体" w:hAnsi="宋体"/>
          <w:bCs/>
          <w:position w:val="-12"/>
          <w:sz w:val="24"/>
        </w:rPr>
        <w:object w:dxaOrig="1800" w:dyaOrig="380">
          <v:shape id="_x0000_i1347" type="#_x0000_t75" style="width:90pt;height:18.75pt" o:ole="">
            <v:imagedata r:id="rId596" o:title=""/>
          </v:shape>
          <o:OLEObject Type="Embed" ProgID="Equation.3" ShapeID="_x0000_i1347" DrawAspect="Content" ObjectID="_1550061615" r:id="rId597"/>
        </w:object>
      </w:r>
      <w:r w:rsidRPr="00481206">
        <w:rPr>
          <w:rFonts w:ascii="宋体" w:hAnsi="宋体" w:hint="eastAsia"/>
          <w:bCs/>
          <w:sz w:val="24"/>
        </w:rPr>
        <w:t>；</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平价期权：</w:t>
      </w:r>
      <w:r w:rsidRPr="00481206">
        <w:rPr>
          <w:rFonts w:ascii="宋体" w:hAnsi="宋体"/>
          <w:bCs/>
          <w:position w:val="-12"/>
          <w:sz w:val="24"/>
        </w:rPr>
        <w:object w:dxaOrig="1800" w:dyaOrig="380">
          <v:shape id="_x0000_i1348" type="#_x0000_t75" style="width:90pt;height:18.75pt" o:ole="">
            <v:imagedata r:id="rId598" o:title=""/>
          </v:shape>
          <o:OLEObject Type="Embed" ProgID="Equation.3" ShapeID="_x0000_i1348" DrawAspect="Content" ObjectID="_1550061616" r:id="rId599"/>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虚值期权：</w:t>
      </w:r>
      <w:r w:rsidRPr="00481206">
        <w:rPr>
          <w:rFonts w:ascii="宋体" w:hAnsi="宋体"/>
          <w:bCs/>
          <w:position w:val="-12"/>
          <w:sz w:val="24"/>
        </w:rPr>
        <w:object w:dxaOrig="1800" w:dyaOrig="380">
          <v:shape id="_x0000_i1349" type="#_x0000_t75" style="width:90pt;height:18.75pt" o:ole="">
            <v:imagedata r:id="rId590" o:title=""/>
          </v:shape>
          <o:OLEObject Type="Embed" ProgID="Equation.3" ShapeID="_x0000_i1349" DrawAspect="Content" ObjectID="_1550061617" r:id="rId600"/>
        </w:object>
      </w:r>
      <w:r w:rsidRPr="00481206">
        <w:rPr>
          <w:rFonts w:ascii="宋体" w:hAnsi="宋体" w:hint="eastAsia"/>
          <w:bCs/>
          <w:sz w:val="24"/>
        </w:rPr>
        <w:t>；</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二、金融期权时间价值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在这里应该明确的是，期权的价格（或期权的价值）等于期权的内在价值和时间价值的和。由此可知，内在价值是决定期权价格的重要因素，但不是唯一因素。在现实中，期权的价格通常是按照高于内在价值进行买卖的。即使是平价期权和虚值期权，虽然他们的内在价值为零，但它们的价格却大于零，因此期权价格的决定因素除了内在价值之外，还有其他的因素，这就是时间价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所谓“时间价值”（time value），也叫做“外在价值”（extrinsic value），是指期权的购买者为购买期权而实际支付的超过该期权内在价值的那部分价值。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举例说明：如果某股票的市场价格为每股25元，而以该股票为标的物、协定价格为每股20元的看涨期权的期权费为每股6.5元，显然该看涨期权的内在价值为每股5元，而其时间价值为每股1.5元。</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期权的购买者之所以愿意支付那部分额外的期权费，是因为他希望随着时间的推移和市场价格的变动，该期权的内在价值可以增加，从而使本来没有内在价值的平价期权或虚值期权变成具有内在价值的实值期权，或者使本来就有内在价值的实值期权的内在价值进一步增加。也就是说，期权的时间价值是指，在期权尚未到期时，标的资产的价格波动为期权持有者带来收益的可能性所隐含的价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举例说明：以通用公司股票GE为标的资产的看涨期权为例，假定执行价格为40美元，如果股票价格的市场价格也为40美元，则该期权的内在价值为零。但如果在到期之前，股票价格能够涨到40美元以上，看涨期权的多方就会获利，当然如果无法达到40美元，多方就会放弃行权，而且无论股票价格跌到多少，多方都不会遭受损失。因此，正是因为期权能够投资者带来这种盈利机会，投资者愿意多付超过内在价值的价格来购买此看涨期权。</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因此概括来说，期权的时间价值就是在期权到期前，标的资产价格的变动可能给期权多头带来收益的一种反映。在其他条件相同的情况下，一般来讲距离期权的到期时间越长，期权的时间价值越大。同时，在其他条件相同的情况下，标的资产的价格变化越大，期权的时间价值也越大。</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bCs/>
          <w:sz w:val="24"/>
        </w:rPr>
        <w:lastRenderedPageBreak/>
        <w:t>期权的时间价值和内在价值之间还存在一个经验事实，即在期权的平价点，期权的时间价值达到最大，而S偏离</w:t>
      </w:r>
      <w:r w:rsidRPr="00481206">
        <w:rPr>
          <w:rFonts w:ascii="宋体" w:hAnsi="宋体"/>
          <w:position w:val="-6"/>
          <w:sz w:val="24"/>
        </w:rPr>
        <w:object w:dxaOrig="859" w:dyaOrig="320">
          <v:shape id="_x0000_i1350" type="#_x0000_t75" style="width:42.75pt;height:15.75pt" o:ole="">
            <v:imagedata r:id="rId601" o:title=""/>
          </v:shape>
          <o:OLEObject Type="Embed" ProgID="Equation.3" ShapeID="_x0000_i1350" DrawAspect="Content" ObjectID="_1550061618" r:id="rId602"/>
        </w:object>
      </w:r>
      <w:r w:rsidRPr="00481206">
        <w:rPr>
          <w:rFonts w:ascii="宋体" w:hAnsi="宋体" w:hint="eastAsia"/>
          <w:sz w:val="24"/>
        </w:rPr>
        <w:t>越大，期权的时间价值越小，如下图所示：</w:t>
      </w:r>
    </w:p>
    <w:p w:rsidR="00481206" w:rsidRPr="00481206" w:rsidRDefault="00EF6E22" w:rsidP="00481206">
      <w:pPr>
        <w:spacing w:line="360" w:lineRule="auto"/>
        <w:rPr>
          <w:rFonts w:ascii="宋体" w:hAnsi="宋体"/>
          <w:bCs/>
          <w:sz w:val="24"/>
        </w:rPr>
      </w:pPr>
      <w:r>
        <w:rPr>
          <w:rFonts w:ascii="宋体" w:hAnsi="宋体"/>
          <w:bCs/>
          <w:sz w:val="24"/>
        </w:rPr>
      </w:r>
      <w:r>
        <w:rPr>
          <w:rFonts w:ascii="宋体" w:hAnsi="宋体"/>
          <w:bCs/>
          <w:sz w:val="24"/>
        </w:rPr>
        <w:pict>
          <v:group id="_x0000_s1205" editas="canvas" style="width:414pt;height:218.4pt;mso-position-horizontal-relative:char;mso-position-vertical-relative:line" coordorigin="2362,1728" coordsize="7200,3804">
            <o:lock v:ext="edit" aspectratio="t"/>
            <v:shape id="_x0000_s1206" type="#_x0000_t75" style="position:absolute;left:2362;top:1728;width:7200;height:3804" o:preferrelative="f">
              <v:fill o:detectmouseclick="t"/>
              <v:path o:extrusionok="t" o:connecttype="none"/>
              <o:lock v:ext="edit" text="t"/>
            </v:shape>
            <v:line id="_x0000_s1207" style="position:absolute" from="3301,4717" to="8466,4717">
              <v:stroke endarrow="block"/>
            </v:line>
            <v:line id="_x0000_s1208" style="position:absolute;flip:y" from="5805,2000" to="5805,4717">
              <v:stroke endarrow="block"/>
            </v:line>
            <v:shape id="_x0000_s1209" style="position:absolute;left:3458;top:2951;width:2347;height:1359" coordsize="2700,1560" path="m2700,v-45,260,-90,520,-540,780c1710,1040,855,1300,,1560e" filled="f">
              <v:path arrowok="t"/>
            </v:shape>
            <v:rect id="_x0000_s1210" style="position:absolute;left:4710;top:4853;width:2191;height:679" stroked="f">
              <v:textbox>
                <w:txbxContent>
                  <w:p w:rsidR="00481206" w:rsidRDefault="00481206" w:rsidP="00481206">
                    <w:r>
                      <w:rPr>
                        <w:rFonts w:hint="eastAsia"/>
                      </w:rPr>
                      <w:t xml:space="preserve">     </w:t>
                    </w:r>
                    <w:r w:rsidRPr="000F65BE">
                      <w:rPr>
                        <w:position w:val="-6"/>
                      </w:rPr>
                      <w:object w:dxaOrig="859" w:dyaOrig="320">
                        <v:shape id="_x0000_i1428" type="#_x0000_t75" style="width:42.75pt;height:15.75pt" o:ole="">
                          <v:imagedata r:id="rId601" o:title=""/>
                        </v:shape>
                        <o:OLEObject Type="Embed" ProgID="Equation.3" ShapeID="_x0000_i1428" DrawAspect="Content" ObjectID="_1550061696" r:id="rId603"/>
                      </w:object>
                    </w:r>
                  </w:p>
                </w:txbxContent>
              </v:textbox>
            </v:rect>
            <v:rect id="_x0000_s1211" style="position:absolute;left:7840;top:4989;width:1252;height:543" stroked="f">
              <v:textbox>
                <w:txbxContent>
                  <w:p w:rsidR="00481206" w:rsidRDefault="00481206" w:rsidP="00481206">
                    <w:r>
                      <w:rPr>
                        <w:rFonts w:hint="eastAsia"/>
                      </w:rPr>
                      <w:t xml:space="preserve">  S</w:t>
                    </w:r>
                  </w:p>
                </w:txbxContent>
              </v:textbox>
            </v:rect>
            <v:rect id="_x0000_s1212" style="position:absolute;left:5962;top:2000;width:1722;height:543" stroked="f">
              <v:textbox>
                <w:txbxContent>
                  <w:p w:rsidR="00481206" w:rsidRDefault="00481206" w:rsidP="00481206">
                    <w:r>
                      <w:rPr>
                        <w:rFonts w:hint="eastAsia"/>
                      </w:rPr>
                      <w:t>时间价值</w:t>
                    </w:r>
                  </w:p>
                </w:txbxContent>
              </v:textbox>
            </v:rect>
            <v:shape id="_x0000_s1213" style="position:absolute;left:5832;top:2951;width:1890;height:1359;flip:x;mso-position-horizontal:absolute;mso-position-vertical:absolute" coordsize="2700,1560" path="m2700,v-45,260,-90,520,-540,780c1710,1040,855,1300,,1560e" filled="f">
              <v:path arrowok="t"/>
            </v:shape>
            <w10:wrap type="none"/>
            <w10:anchorlock/>
          </v:group>
        </w:pict>
      </w:r>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这种变化趋势的原因是（以看涨期权为例）：如果S偏离</w:t>
      </w:r>
      <w:r w:rsidRPr="00481206">
        <w:rPr>
          <w:rFonts w:ascii="宋体" w:hAnsi="宋体"/>
          <w:position w:val="-6"/>
          <w:sz w:val="24"/>
        </w:rPr>
        <w:object w:dxaOrig="859" w:dyaOrig="320">
          <v:shape id="_x0000_i1351" type="#_x0000_t75" style="width:42.75pt;height:15.75pt" o:ole="">
            <v:imagedata r:id="rId601" o:title=""/>
          </v:shape>
          <o:OLEObject Type="Embed" ProgID="Equation.3" ShapeID="_x0000_i1351" DrawAspect="Content" ObjectID="_1550061619" r:id="rId604"/>
        </w:object>
      </w:r>
      <w:r w:rsidRPr="00481206">
        <w:rPr>
          <w:rFonts w:ascii="宋体" w:hAnsi="宋体" w:hint="eastAsia"/>
          <w:sz w:val="24"/>
        </w:rPr>
        <w:t>，说明期权的内在价值越大，处于深度实值（deep-in-money），这时投资者会认为市场价格的变动使它继续增加内在价值的可能性已经非常之小，而减少内在价值的可能性到很大，因为任何人在此刻都不愿意买进该期权并继续持有它，同时付出较高的期权费，因此这时期权的时间价值就很小。如果此时协定价格与市场价格相等，即期权处于平价时，市场价格的变动才最有可能使期权的内在价值增加，从而人们也愿意为买进这个期权，这使期权的时间价值最大，任何市场价格与协定价格的偏离都会减少这一时间价值。</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三、金融期权价格的影响因素</w:t>
      </w:r>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（一）标的资产的市场价格与期权的协定价格</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对于看涨期权来讲，其收益等于标的资产当时的市场价格和协定价格之差。因此标的资产的市场价格越高、协定价格越低，看涨期权的价格就越高。</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对于看跌期权来讲，其收益等于协定价格与标的资产市场价格的差额。因此，标的资产的价格越低、协定价格越高，看跌期权的价格也越高。</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我们用S表示标的资产的市场价格；X表示期权的协定价格；C表示看涨期权的价格（即看涨期权的期权费）；P表示看跌期权的价格（即看跌期权的期权费）。在下面的两图中，实线表示期权价格，虚线表示内在价值，实线与虚线之间的间隔表示时间价值。</w:t>
      </w:r>
    </w:p>
    <w:p w:rsidR="00481206" w:rsidRPr="00481206" w:rsidRDefault="00EF6E22" w:rsidP="00481206">
      <w:pPr>
        <w:spacing w:line="360" w:lineRule="auto"/>
        <w:rPr>
          <w:rFonts w:ascii="宋体" w:hAnsi="宋体"/>
          <w:bCs/>
          <w:sz w:val="24"/>
        </w:rPr>
      </w:pPr>
      <w:r>
        <w:rPr>
          <w:rFonts w:ascii="宋体" w:hAnsi="宋体"/>
          <w:bCs/>
          <w:sz w:val="24"/>
        </w:rPr>
      </w:r>
      <w:r>
        <w:rPr>
          <w:rFonts w:ascii="宋体" w:hAnsi="宋体"/>
          <w:bCs/>
          <w:sz w:val="24"/>
        </w:rPr>
        <w:pict>
          <v:group id="_x0000_s1214" editas="canvas" style="width:414pt;height:226.2pt;mso-position-horizontal-relative:char;mso-position-vertical-relative:line" coordorigin="2362,-979" coordsize="7200,3940">
            <o:lock v:ext="edit" aspectratio="t"/>
            <v:shape id="_x0000_s1215" type="#_x0000_t75" style="position:absolute;left:2362;top:-979;width:7200;height:3940" o:preferrelative="f">
              <v:fill o:detectmouseclick="t"/>
              <v:path o:extrusionok="t" o:connecttype="none"/>
              <o:lock v:ext="edit" text="t"/>
            </v:shape>
            <v:line id="_x0000_s1216" style="position:absolute" from="3771,2418" to="8310,2418">
              <v:stroke endarrow="block"/>
            </v:line>
            <v:line id="_x0000_s1217" style="position:absolute;flip:y" from="3771,-707" to="3771,2418">
              <v:stroke endarrow="block"/>
            </v:line>
            <v:shape id="_x0000_s1218" style="position:absolute;left:3771;top:108;width:3287;height:2310" coordsize="3780,2652" path="m,2652c765,2483,1530,2314,2160,1872,2790,1430,3285,715,3780,e" filled="f">
              <v:path arrowok="t"/>
            </v:shape>
            <v:line id="_x0000_s1219" style="position:absolute;flip:x" from="5492,108" to="7058,2418">
              <v:stroke dashstyle="longDash"/>
            </v:line>
            <v:rect id="_x0000_s1220" style="position:absolute;left:2832;top:-843;width:782;height:679" stroked="f">
              <v:textbox>
                <w:txbxContent>
                  <w:p w:rsidR="00481206" w:rsidRDefault="00481206" w:rsidP="00481206">
                    <w:r>
                      <w:rPr>
                        <w:rFonts w:hint="eastAsia"/>
                      </w:rPr>
                      <w:t xml:space="preserve">    C</w:t>
                    </w:r>
                  </w:p>
                </w:txbxContent>
              </v:textbox>
            </v:rect>
            <v:rect id="_x0000_s1221" style="position:absolute;left:8466;top:2282;width:939;height:679" stroked="f">
              <v:textbox>
                <w:txbxContent>
                  <w:p w:rsidR="00481206" w:rsidRDefault="00481206" w:rsidP="00481206">
                    <w:r>
                      <w:rPr>
                        <w:rFonts w:hint="eastAsia"/>
                      </w:rPr>
                      <w:t>S</w:t>
                    </w:r>
                  </w:p>
                </w:txbxContent>
              </v:textbox>
            </v:rect>
            <v:line id="_x0000_s1222" style="position:absolute;flip:x y" from="6588,1059" to="7058,1603">
              <v:stroke endarrow="block"/>
            </v:line>
            <v:rect id="_x0000_s1223" style="position:absolute;left:7371;top:1467;width:1408;height:543" stroked="f">
              <v:textbox>
                <w:txbxContent>
                  <w:p w:rsidR="00481206" w:rsidRDefault="00481206" w:rsidP="00481206">
                    <w:r>
                      <w:rPr>
                        <w:rFonts w:hint="eastAsia"/>
                      </w:rPr>
                      <w:t>内在价值</w:t>
                    </w:r>
                  </w:p>
                </w:txbxContent>
              </v:textbox>
            </v:rect>
            <v:line id="_x0000_s1224" style="position:absolute" from="5336,651" to="5962,1195">
              <v:stroke endarrow="block"/>
            </v:line>
            <v:rect id="_x0000_s1225" style="position:absolute;left:4866;top:108;width:1253;height:408" stroked="f">
              <v:textbox>
                <w:txbxContent>
                  <w:p w:rsidR="00481206" w:rsidRDefault="00481206" w:rsidP="00481206">
                    <w:r>
                      <w:rPr>
                        <w:rFonts w:hint="eastAsia"/>
                      </w:rPr>
                      <w:t>期权价格</w:t>
                    </w:r>
                  </w:p>
                </w:txbxContent>
              </v:textbox>
            </v:rect>
            <v:line id="_x0000_s1226" style="position:absolute" from="4553,1738" to="5492,2146">
              <v:stroke endarrow="block"/>
            </v:line>
            <v:rect id="_x0000_s1227" style="position:absolute;left:4084;top:1195;width:1095;height:408" stroked="f">
              <v:textbox>
                <w:txbxContent>
                  <w:p w:rsidR="00481206" w:rsidRDefault="00481206" w:rsidP="00481206">
                    <w:r>
                      <w:rPr>
                        <w:rFonts w:hint="eastAsia"/>
                      </w:rPr>
                      <w:t>时间价值</w:t>
                    </w:r>
                  </w:p>
                </w:txbxContent>
              </v:textbox>
            </v:rect>
            <v:rect id="_x0000_s1228" style="position:absolute;left:5023;top:2554;width:1096;height:407" stroked="f">
              <v:textbox>
                <w:txbxContent>
                  <w:p w:rsidR="00481206" w:rsidRDefault="00481206" w:rsidP="00481206">
                    <w:pPr>
                      <w:ind w:firstLineChars="100" w:firstLine="210"/>
                    </w:pPr>
                    <w:r>
                      <w:rPr>
                        <w:rFonts w:hint="eastAsia"/>
                      </w:rPr>
                      <w:t>X</w:t>
                    </w:r>
                  </w:p>
                </w:txbxContent>
              </v:textbox>
            </v:rect>
            <v:rect id="_x0000_s1229" style="position:absolute;left:2988;top:2146;width:626;height:543" stroked="f">
              <v:textbox>
                <w:txbxContent>
                  <w:p w:rsidR="00481206" w:rsidRDefault="00481206" w:rsidP="00481206">
                    <w:r>
                      <w:rPr>
                        <w:rFonts w:hint="eastAsia"/>
                      </w:rPr>
                      <w:t xml:space="preserve">  0</w:t>
                    </w:r>
                  </w:p>
                </w:txbxContent>
              </v:textbox>
            </v:rect>
            <w10:wrap type="none"/>
            <w10:anchorlock/>
          </v:group>
        </w:pict>
      </w:r>
    </w:p>
    <w:p w:rsidR="00481206" w:rsidRPr="00481206" w:rsidRDefault="00481206" w:rsidP="00481206">
      <w:pPr>
        <w:spacing w:line="360" w:lineRule="auto"/>
        <w:jc w:val="center"/>
        <w:rPr>
          <w:rFonts w:ascii="宋体" w:hAnsi="宋体"/>
          <w:sz w:val="24"/>
        </w:rPr>
      </w:pPr>
      <w:r w:rsidRPr="00481206">
        <w:rPr>
          <w:rFonts w:ascii="宋体" w:hAnsi="宋体" w:hint="eastAsia"/>
          <w:sz w:val="24"/>
        </w:rPr>
        <w:t>（看涨期权的内在价值、时间价值与协定价格）</w:t>
      </w:r>
    </w:p>
    <w:p w:rsidR="00481206" w:rsidRPr="00481206" w:rsidRDefault="00EF6E22" w:rsidP="00481206">
      <w:pPr>
        <w:spacing w:line="360" w:lineRule="auto"/>
        <w:rPr>
          <w:rFonts w:ascii="宋体" w:hAnsi="宋体"/>
          <w:sz w:val="24"/>
        </w:rPr>
      </w:pPr>
      <w:r>
        <w:rPr>
          <w:rFonts w:ascii="宋体" w:hAnsi="宋体"/>
          <w:sz w:val="24"/>
        </w:rPr>
      </w:r>
      <w:r>
        <w:rPr>
          <w:rFonts w:ascii="宋体" w:hAnsi="宋体"/>
          <w:sz w:val="24"/>
        </w:rPr>
        <w:pict>
          <v:group id="_x0000_s1230" editas="canvas" style="width:414pt;height:241.8pt;mso-position-horizontal-relative:char;mso-position-vertical-relative:line" coordorigin="2362,7000" coordsize="7200,4212">
            <o:lock v:ext="edit" aspectratio="t"/>
            <v:shape id="_x0000_s1231" type="#_x0000_t75" style="position:absolute;left:2362;top:7000;width:7200;height:4212" o:preferrelative="f">
              <v:fill o:detectmouseclick="t"/>
              <v:path o:extrusionok="t" o:connecttype="none"/>
              <o:lock v:ext="edit" text="t"/>
            </v:shape>
            <v:line id="_x0000_s1232" style="position:absolute" from="3927,10533" to="8310,10533">
              <v:stroke endarrow="block"/>
            </v:line>
            <v:line id="_x0000_s1233" style="position:absolute;flip:y" from="3927,7136" to="3927,10533">
              <v:stroke endarrow="block"/>
            </v:line>
            <v:shape id="_x0000_s1234" style="position:absolute;left:3927;top:8766;width:3913;height:1767" coordsize="4500,2028" path="m,c795,533,1590,1066,2340,1404v750,338,1455,481,2160,624e" filled="f">
              <v:path arrowok="t"/>
            </v:shape>
            <v:line id="_x0000_s1235" style="position:absolute" from="3927,8766" to="5649,10533">
              <v:stroke dashstyle="dash"/>
            </v:line>
            <v:rect id="_x0000_s1236" style="position:absolute;left:3145;top:10261;width:626;height:679" stroked="f">
              <v:textbox>
                <w:txbxContent>
                  <w:p w:rsidR="00481206" w:rsidRDefault="00481206" w:rsidP="00481206">
                    <w:r>
                      <w:rPr>
                        <w:rFonts w:hint="eastAsia"/>
                      </w:rPr>
                      <w:t xml:space="preserve">  0</w:t>
                    </w:r>
                  </w:p>
                </w:txbxContent>
              </v:textbox>
            </v:rect>
            <v:rect id="_x0000_s1237" style="position:absolute;left:5179;top:10669;width:783;height:407" stroked="f">
              <v:textbox>
                <w:txbxContent>
                  <w:p w:rsidR="00481206" w:rsidRDefault="00481206" w:rsidP="00481206">
                    <w:r>
                      <w:rPr>
                        <w:rFonts w:hint="eastAsia"/>
                      </w:rPr>
                      <w:t xml:space="preserve">  X</w:t>
                    </w:r>
                  </w:p>
                </w:txbxContent>
              </v:textbox>
            </v:rect>
            <v:rect id="_x0000_s1238" style="position:absolute;left:8466;top:10261;width:626;height:679" stroked="f">
              <v:textbox>
                <w:txbxContent>
                  <w:p w:rsidR="00481206" w:rsidRDefault="00481206" w:rsidP="00481206">
                    <w:r>
                      <w:rPr>
                        <w:rFonts w:hint="eastAsia"/>
                      </w:rPr>
                      <w:t>S</w:t>
                    </w:r>
                  </w:p>
                </w:txbxContent>
              </v:textbox>
            </v:rect>
            <v:line id="_x0000_s1239" style="position:absolute;flip:x" from="4553,8766" to="5336,9446">
              <v:stroke endarrow="block"/>
            </v:line>
            <v:rect id="_x0000_s1240" style="position:absolute;left:5336;top:8223;width:1096;height:407" stroked="f">
              <v:textbox>
                <w:txbxContent>
                  <w:p w:rsidR="00481206" w:rsidRDefault="00481206" w:rsidP="00481206">
                    <w:r>
                      <w:rPr>
                        <w:rFonts w:hint="eastAsia"/>
                      </w:rPr>
                      <w:t>内在价值</w:t>
                    </w:r>
                  </w:p>
                </w:txbxContent>
              </v:textbox>
            </v:rect>
            <v:line id="_x0000_s1241" style="position:absolute;flip:x" from="5492,9174" to="6119,9582">
              <v:stroke endarrow="block"/>
            </v:line>
            <v:rect id="_x0000_s1242" style="position:absolute;left:6119;top:8766;width:1252;height:408" stroked="f">
              <v:textbox>
                <w:txbxContent>
                  <w:p w:rsidR="00481206" w:rsidRDefault="00481206" w:rsidP="00481206">
                    <w:r>
                      <w:rPr>
                        <w:rFonts w:hint="eastAsia"/>
                      </w:rPr>
                      <w:t>期权价格</w:t>
                    </w:r>
                  </w:p>
                </w:txbxContent>
              </v:textbox>
            </v:rect>
            <v:line id="_x0000_s1243" style="position:absolute;flip:x" from="6275,9582" to="7214,10261">
              <v:stroke endarrow="block"/>
            </v:line>
            <v:rect id="_x0000_s1244" style="position:absolute;left:7371;top:9174;width:1252;height:543" stroked="f">
              <v:textbox>
                <w:txbxContent>
                  <w:p w:rsidR="00481206" w:rsidRDefault="00481206" w:rsidP="00481206">
                    <w:r>
                      <w:rPr>
                        <w:rFonts w:hint="eastAsia"/>
                      </w:rPr>
                      <w:t>时间价值</w:t>
                    </w:r>
                  </w:p>
                </w:txbxContent>
              </v:textbox>
            </v:rect>
            <w10:wrap type="none"/>
            <w10:anchorlock/>
          </v:group>
        </w:pict>
      </w:r>
    </w:p>
    <w:p w:rsidR="00481206" w:rsidRPr="00481206" w:rsidRDefault="00481206" w:rsidP="00481206">
      <w:pPr>
        <w:spacing w:line="360" w:lineRule="auto"/>
        <w:jc w:val="center"/>
        <w:rPr>
          <w:rFonts w:ascii="宋体" w:hAnsi="宋体"/>
          <w:sz w:val="24"/>
        </w:rPr>
      </w:pPr>
      <w:r w:rsidRPr="00481206">
        <w:rPr>
          <w:rFonts w:ascii="宋体" w:hAnsi="宋体" w:hint="eastAsia"/>
          <w:sz w:val="24"/>
        </w:rPr>
        <w:t>（看跌期权的内在价值、时间价值与协定价格）</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很显然，在协定价格一定的情况下，标的物的市场价格便决定了内在价值。对于看涨期权而言，市场价格高于协定价格越多，则内在价值越大；市场价格高于协定价格越少，则内在价值越小；当市场价格等于或低于协定价格时，内在价值为零。对于看跌期权而言，市场价格低于协定价格越多，则内在价值越大；市场价格低于协定价格越少，其内在价值越小，当市场价格等于或高于协定价格时，内在价值就为零。</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同时，当市场价格一定时，协定价格决定了内在价值。对于看涨期权而言，若协定价格提高，第一个图的虚线将向右方平移，表示在同一市场价格水平上，内在价值减少；</w:t>
      </w:r>
      <w:r w:rsidRPr="00481206">
        <w:rPr>
          <w:rFonts w:ascii="宋体" w:hAnsi="宋体" w:hint="eastAsia"/>
          <w:sz w:val="24"/>
        </w:rPr>
        <w:lastRenderedPageBreak/>
        <w:t>而若协定价格降低，第一个图的虚线将向左边平移，表示在同一市场价格水平上，内在价值增加；对于看跌期权而言，若协定价格提高，则第二个图的虚线将向右方平移，而若协定价格降低，第二个图的虚线将向左方平移，但是这种平移所反映的内在价值的变动却与看涨期权相反。</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值得注意的是：这两幅图也显示了时间价值与内在价值的关系。当内在价值降低时，时间价值提高；内在价值提高时，时间价值降低。</w:t>
      </w:r>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（二）期权的有效期</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对于美式期权而言，由于它可以在有效期的任何时间内执行，有效期越长，期权多头获利的可能性就越大，而且有效期长的期权包含了有效期短的期权的所有执行机会，因此有效期越长，期权价格越高。</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对于欧式期权而言，由于它只能在期末执行，所以有效期长的期权并不一定包含有效期短的期权的所有执行机会，所以欧式期权的有效期和期权价格之间的关系比较复杂（不过多解释，大家知道就可以了）。</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有效期的长短对期权价格的影响主要有两个方面（以美式为主）：</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第一，期权通常被作为套期保值的工具，而期权价格又通常被作为套期保值者所支付的保险费，因此有效期越长，套期保值的时间也越长，于是套期保值者所支付的那种保险费也理应更高；第二，有效期长短对期权的时间价值有直接的影响，一般来讲，权利期间越长，时间价值越大；权利期权越短，时间价值越小；在期权到期日，时间价值为零。如下图所示：</w:t>
      </w:r>
    </w:p>
    <w:p w:rsidR="00481206" w:rsidRPr="00481206" w:rsidRDefault="00EF6E22" w:rsidP="00481206">
      <w:pPr>
        <w:spacing w:line="360" w:lineRule="auto"/>
        <w:ind w:firstLineChars="200" w:firstLine="480"/>
        <w:rPr>
          <w:rFonts w:ascii="宋体" w:hAnsi="宋体"/>
          <w:sz w:val="24"/>
        </w:rPr>
      </w:pPr>
      <w:r>
        <w:rPr>
          <w:rFonts w:ascii="宋体" w:hAnsi="宋体"/>
          <w:sz w:val="24"/>
        </w:rPr>
      </w:r>
      <w:r>
        <w:rPr>
          <w:rFonts w:ascii="宋体" w:hAnsi="宋体"/>
          <w:sz w:val="24"/>
        </w:rPr>
        <w:pict>
          <v:group id="_x0000_s1245" editas="canvas" style="width:414pt;height:195pt;mso-position-horizontal-relative:char;mso-position-vertical-relative:line" coordorigin="2362,10495" coordsize="7200,3397">
            <o:lock v:ext="edit" aspectratio="t"/>
            <v:shape id="_x0000_s1246" type="#_x0000_t75" style="position:absolute;left:2362;top:10495;width:7200;height:3397" o:preferrelative="f">
              <v:fill o:detectmouseclick="t"/>
              <v:path o:extrusionok="t" o:connecttype="none"/>
              <o:lock v:ext="edit" text="t"/>
            </v:shape>
            <v:line id="_x0000_s1247" style="position:absolute" from="4084,13213" to="7997,13213">
              <v:stroke endarrow="block"/>
            </v:line>
            <v:line id="_x0000_s1248" style="position:absolute;flip:y" from="4084,10631" to="4084,13213">
              <v:stroke endarrow="block"/>
            </v:line>
            <v:shape id="_x0000_s1249" style="position:absolute;left:4084;top:11265;width:2191;height:1948" coordsize="2520,2236" path="m,52c510,26,1020,,1440,364v420,364,750,1118,1080,1872e" filled="f">
              <v:path arrowok="t"/>
            </v:shape>
            <v:rect id="_x0000_s1250" style="position:absolute;left:8153;top:12805;width:1252;height:679" stroked="f">
              <v:textbox>
                <w:txbxContent>
                  <w:p w:rsidR="00481206" w:rsidRDefault="00481206" w:rsidP="00481206">
                    <w:r>
                      <w:rPr>
                        <w:rFonts w:hint="eastAsia"/>
                      </w:rPr>
                      <w:t>剩余月份</w:t>
                    </w:r>
                  </w:p>
                </w:txbxContent>
              </v:textbox>
            </v:rect>
            <v:rect id="_x0000_s1251" style="position:absolute;left:3301;top:10631;width:470;height:1223" stroked="f">
              <v:textbox>
                <w:txbxContent>
                  <w:p w:rsidR="00481206" w:rsidRDefault="00481206" w:rsidP="00481206">
                    <w:r>
                      <w:rPr>
                        <w:rFonts w:hint="eastAsia"/>
                      </w:rPr>
                      <w:t>时间价值</w:t>
                    </w:r>
                  </w:p>
                </w:txbxContent>
              </v:textbox>
            </v:rect>
            <v:rect id="_x0000_s1252" style="position:absolute;left:3927;top:13348;width:2818;height:408" stroked="f">
              <v:textbox>
                <w:txbxContent>
                  <w:p w:rsidR="00481206" w:rsidRDefault="00481206" w:rsidP="00481206">
                    <w:r>
                      <w:rPr>
                        <w:rFonts w:hint="eastAsia"/>
                      </w:rPr>
                      <w:t>8  7  6  5  4  3  2  1  0</w:t>
                    </w:r>
                  </w:p>
                </w:txbxContent>
              </v:textbox>
            </v:rect>
            <w10:wrap type="none"/>
            <w10:anchorlock/>
          </v:group>
        </w:pict>
      </w:r>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（三）无风险利率</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一般来讲，无风险利率对看涨期权有正的影响，对看跌期权有负的影响。以股票期</w:t>
      </w:r>
      <w:r w:rsidRPr="00481206">
        <w:rPr>
          <w:rFonts w:ascii="宋体" w:hAnsi="宋体" w:hint="eastAsia"/>
          <w:bCs/>
          <w:sz w:val="24"/>
        </w:rPr>
        <w:lastRenderedPageBreak/>
        <w:t>权为例：如果买进股票，投资者必须支付全部价款；而如果买进看涨期权，投资者只需支付期权费。很显然，期权费比股票的全部价款要小得多。因此当无风险利率提高时，投资者倾向于买进看涨期权，同时把剩下的资金投入无风险利率中以获得更高的收益，因此看涨期权的价格将随着需求的上升而上涨。</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对于看跌期权而言，当无风险利率提高时，投资者倾向于卖出股票，以及时收回资金，并投资于无风险利率，这导致看跌期权需求量减少，因此价格下降。</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当然，无风险利率对期权价格的影响，还要看无风险利率的变动对标的资产价格变动的影响，因此其对期权价格的影响是复杂的。从一般的角度上来讲，其对看涨期权有正的影响，对看跌期权有负的影响。</w:t>
      </w:r>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（四）标的资产的价格波动率</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标的资产价格波动率对期权价格的影响，一般通过对时间价值的影响而实现。标的资产价格的波动率越高，在期权到期前，标的物资产的市场价格涨到协定价格以上或跌至协定价格以下的可能性也就越大，于是无论看涨期权还是看跌期权，其时间价值和期权价格将随着整个标的资产价格波动率的增大而提高，反之将减少。</w:t>
      </w:r>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（五）标的资产的收益率</w:t>
      </w:r>
    </w:p>
    <w:p w:rsidR="00481206" w:rsidRPr="00481206" w:rsidRDefault="00481206" w:rsidP="00481206">
      <w:pPr>
        <w:spacing w:line="360" w:lineRule="auto"/>
        <w:ind w:firstLineChars="147" w:firstLine="353"/>
        <w:rPr>
          <w:rFonts w:ascii="宋体" w:hAnsi="宋体"/>
          <w:bCs/>
          <w:sz w:val="24"/>
        </w:rPr>
      </w:pPr>
      <w:r w:rsidRPr="00481206">
        <w:rPr>
          <w:rFonts w:ascii="宋体" w:hAnsi="宋体" w:hint="eastAsia"/>
          <w:bCs/>
          <w:sz w:val="24"/>
        </w:rPr>
        <w:t xml:space="preserve"> 一般而言，标的资产的收益率越高，其市场价格将越低，在协定价格一定的情况下，看涨期权的内在价值越低，看跌期权的内在价值越高，因此看涨期权的价格越低，看跌期权的价格越高。</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3291"/>
        <w:gridCol w:w="1500"/>
        <w:gridCol w:w="1499"/>
        <w:gridCol w:w="1499"/>
        <w:gridCol w:w="1499"/>
      </w:tblGrid>
      <w:tr w:rsidR="00481206" w:rsidRPr="00481206" w:rsidTr="00CF0F4C">
        <w:tc>
          <w:tcPr>
            <w:tcW w:w="1771"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影响因素</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欧式看涨</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欧式看跌</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美式看涨</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美式看跌</w:t>
            </w:r>
          </w:p>
        </w:tc>
      </w:tr>
      <w:tr w:rsidR="00481206" w:rsidRPr="00481206" w:rsidTr="00CF0F4C">
        <w:tc>
          <w:tcPr>
            <w:tcW w:w="1771"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标的资产的市场价格</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r>
      <w:tr w:rsidR="00481206" w:rsidRPr="00481206" w:rsidTr="00CF0F4C">
        <w:tc>
          <w:tcPr>
            <w:tcW w:w="1771"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期权协议价格</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r>
      <w:tr w:rsidR="00481206" w:rsidRPr="00481206" w:rsidTr="00CF0F4C">
        <w:tc>
          <w:tcPr>
            <w:tcW w:w="1771"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有效期</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r>
      <w:tr w:rsidR="00481206" w:rsidRPr="00481206" w:rsidTr="00CF0F4C">
        <w:tc>
          <w:tcPr>
            <w:tcW w:w="1771"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标的资产价格的波动率</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r>
      <w:tr w:rsidR="00481206" w:rsidRPr="00481206" w:rsidTr="00CF0F4C">
        <w:tc>
          <w:tcPr>
            <w:tcW w:w="1771"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无风险利率</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r>
      <w:tr w:rsidR="00481206" w:rsidRPr="00481206" w:rsidTr="00CF0F4C">
        <w:tc>
          <w:tcPr>
            <w:tcW w:w="1771"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收益率</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c>
          <w:tcPr>
            <w:tcW w:w="807" w:type="pct"/>
            <w:vAlign w:val="center"/>
          </w:tcPr>
          <w:p w:rsidR="00481206" w:rsidRPr="00481206" w:rsidRDefault="00481206" w:rsidP="00CF0F4C">
            <w:pPr>
              <w:spacing w:line="360" w:lineRule="auto"/>
              <w:jc w:val="center"/>
              <w:rPr>
                <w:rFonts w:ascii="宋体" w:hAnsi="宋体"/>
                <w:sz w:val="24"/>
              </w:rPr>
            </w:pPr>
            <w:r w:rsidRPr="00481206">
              <w:rPr>
                <w:rFonts w:ascii="宋体" w:hAnsi="宋体" w:hint="eastAsia"/>
                <w:sz w:val="24"/>
              </w:rPr>
              <w:t>+</w:t>
            </w:r>
          </w:p>
        </w:tc>
      </w:tr>
    </w:tbl>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四、金融期权价格的上下限</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（一）期权价格的上限</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1.看涨期权的上限</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我们用c代表欧式看涨期权的价格，C代表美式看涨期权的价格。在任何情况下，</w:t>
      </w:r>
      <w:r w:rsidRPr="00481206">
        <w:rPr>
          <w:rFonts w:ascii="宋体" w:hAnsi="宋体" w:hint="eastAsia"/>
          <w:bCs/>
          <w:sz w:val="24"/>
        </w:rPr>
        <w:lastRenderedPageBreak/>
        <w:t>期权的价值不可能超过标的资产的价格。因为投资者买入看涨期权就是为了获得未来以协定价格X买入标的资产的权利，如果这个权利本身的价格超过标的资产当前的市价，投资者不如直接在市场中购买资产本身。显然如果期权价值高于标的资产价格，套利者可以买入标的资产并卖出期权而获得无风险利润，因此对于美式和欧式看涨期权而言，标的资产的价格就是看涨期权价格的上限：</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6"/>
          <w:sz w:val="24"/>
        </w:rPr>
        <w:object w:dxaOrig="580" w:dyaOrig="279">
          <v:shape id="_x0000_i1352" type="#_x0000_t75" style="width:29.25pt;height:14.25pt" o:ole="">
            <v:imagedata r:id="rId605" o:title=""/>
          </v:shape>
          <o:OLEObject Type="Embed" ProgID="Equation.3" ShapeID="_x0000_i1352" DrawAspect="Content" ObjectID="_1550061620" r:id="rId606"/>
        </w:object>
      </w:r>
      <w:r w:rsidRPr="00481206">
        <w:rPr>
          <w:rFonts w:ascii="宋体" w:hAnsi="宋体" w:hint="eastAsia"/>
          <w:bCs/>
          <w:sz w:val="24"/>
        </w:rPr>
        <w:t xml:space="preserve">   </w:t>
      </w:r>
      <w:r w:rsidRPr="00481206">
        <w:rPr>
          <w:rFonts w:ascii="宋体" w:hAnsi="宋体"/>
          <w:bCs/>
          <w:position w:val="-6"/>
          <w:sz w:val="24"/>
        </w:rPr>
        <w:object w:dxaOrig="639" w:dyaOrig="279">
          <v:shape id="_x0000_i1353" type="#_x0000_t75" style="width:32.25pt;height:14.25pt" o:ole="">
            <v:imagedata r:id="rId607" o:title=""/>
          </v:shape>
          <o:OLEObject Type="Embed" ProgID="Equation.3" ShapeID="_x0000_i1353" DrawAspect="Content" ObjectID="_1550061621" r:id="rId608"/>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2.看跌期权的上限</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我们用P代表美式看跌期权的价格，p代表欧式看跌期权的价格。由于美式看跌期权的多头执行期权的最高回报为协定价格X，投资者一定不会花费高于X的价格去购入一个可以卖出标的资产获得X元收入的美式看跌期权，因为美式看跌期权的价格上限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4"/>
          <w:sz w:val="24"/>
        </w:rPr>
        <w:object w:dxaOrig="700" w:dyaOrig="260">
          <v:shape id="_x0000_i1354" type="#_x0000_t75" style="width:35.25pt;height:12.75pt" o:ole="">
            <v:imagedata r:id="rId609" o:title=""/>
          </v:shape>
          <o:OLEObject Type="Embed" ProgID="Equation.3" ShapeID="_x0000_i1354" DrawAspect="Content" ObjectID="_1550061622" r:id="rId610"/>
        </w:object>
      </w:r>
    </w:p>
    <w:p w:rsidR="00481206" w:rsidRPr="00481206" w:rsidRDefault="00481206" w:rsidP="00481206">
      <w:pPr>
        <w:spacing w:line="360" w:lineRule="auto"/>
        <w:ind w:firstLineChars="197" w:firstLine="473"/>
        <w:rPr>
          <w:rFonts w:ascii="宋体" w:hAnsi="宋体"/>
          <w:sz w:val="24"/>
        </w:rPr>
      </w:pPr>
      <w:r w:rsidRPr="00481206">
        <w:rPr>
          <w:rFonts w:ascii="宋体" w:hAnsi="宋体" w:hint="eastAsia"/>
          <w:sz w:val="24"/>
        </w:rPr>
        <w:t>由于欧式看跌期权只能在到期日T时刻执行，因此欧式看跌期权的价格不能高于X的现值：</w:t>
      </w:r>
    </w:p>
    <w:p w:rsidR="00481206" w:rsidRPr="00481206" w:rsidRDefault="00481206" w:rsidP="00481206">
      <w:pPr>
        <w:spacing w:line="360" w:lineRule="auto"/>
        <w:ind w:firstLineChars="197" w:firstLine="473"/>
        <w:rPr>
          <w:rFonts w:ascii="宋体" w:hAnsi="宋体"/>
          <w:sz w:val="24"/>
        </w:rPr>
      </w:pPr>
      <w:r w:rsidRPr="00481206">
        <w:rPr>
          <w:rFonts w:ascii="宋体" w:hAnsi="宋体"/>
          <w:position w:val="-10"/>
          <w:sz w:val="24"/>
        </w:rPr>
        <w:object w:dxaOrig="1280" w:dyaOrig="360">
          <v:shape id="_x0000_i1355" type="#_x0000_t75" style="width:63.75pt;height:18pt" o:ole="">
            <v:imagedata r:id="rId611" o:title=""/>
          </v:shape>
          <o:OLEObject Type="Embed" ProgID="Equation.3" ShapeID="_x0000_i1355" DrawAspect="Content" ObjectID="_1550061623" r:id="rId612"/>
        </w:objec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（二）期权价格的下限</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1.欧式看涨期权价格的下限</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（1）无收益资产欧式看涨期权价格的下限。构造如下两种投资组合：</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组合A：一份欧式看涨期权加上金额为</w:t>
      </w:r>
      <w:r w:rsidRPr="00481206">
        <w:rPr>
          <w:rFonts w:ascii="宋体" w:hAnsi="宋体"/>
          <w:bCs/>
          <w:position w:val="-6"/>
          <w:sz w:val="24"/>
        </w:rPr>
        <w:object w:dxaOrig="859" w:dyaOrig="320">
          <v:shape id="_x0000_i1356" type="#_x0000_t75" style="width:42.75pt;height:15.75pt" o:ole="">
            <v:imagedata r:id="rId613" o:title=""/>
          </v:shape>
          <o:OLEObject Type="Embed" ProgID="Equation.3" ShapeID="_x0000_i1356" DrawAspect="Content" ObjectID="_1550061624" r:id="rId614"/>
        </w:object>
      </w:r>
      <w:r w:rsidRPr="00481206">
        <w:rPr>
          <w:rFonts w:ascii="宋体" w:hAnsi="宋体" w:hint="eastAsia"/>
          <w:bCs/>
          <w:sz w:val="24"/>
        </w:rPr>
        <w:t>；</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组合B：一单位标的资产；</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在组合A中，如果现金按照无风险利率进行投资，在T时刻会变为X，即定于协定价格，此时多头是否执行看涨期权要视T时刻标的资产的市场价格</w:t>
      </w:r>
      <w:r w:rsidRPr="00481206">
        <w:rPr>
          <w:rFonts w:ascii="宋体" w:hAnsi="宋体"/>
          <w:bCs/>
          <w:position w:val="-10"/>
          <w:sz w:val="24"/>
        </w:rPr>
        <w:object w:dxaOrig="300" w:dyaOrig="340">
          <v:shape id="_x0000_i1357" type="#_x0000_t75" style="width:15pt;height:17.25pt" o:ole="">
            <v:imagedata r:id="rId615" o:title=""/>
          </v:shape>
          <o:OLEObject Type="Embed" ProgID="Equation.3" ShapeID="_x0000_i1357" DrawAspect="Content" ObjectID="_1550061625" r:id="rId616"/>
        </w:object>
      </w:r>
      <w:r w:rsidRPr="00481206">
        <w:rPr>
          <w:rFonts w:ascii="宋体" w:hAnsi="宋体" w:hint="eastAsia"/>
          <w:bCs/>
          <w:sz w:val="24"/>
        </w:rPr>
        <w:t>而定，如果</w:t>
      </w:r>
      <w:r w:rsidRPr="00481206">
        <w:rPr>
          <w:rFonts w:ascii="宋体" w:hAnsi="宋体"/>
          <w:bCs/>
          <w:position w:val="-10"/>
          <w:sz w:val="24"/>
        </w:rPr>
        <w:object w:dxaOrig="300" w:dyaOrig="340">
          <v:shape id="_x0000_i1358" type="#_x0000_t75" style="width:15pt;height:17.25pt" o:ole="">
            <v:imagedata r:id="rId617" o:title=""/>
          </v:shape>
          <o:OLEObject Type="Embed" ProgID="Equation.3" ShapeID="_x0000_i1358" DrawAspect="Content" ObjectID="_1550061626" r:id="rId618"/>
        </w:object>
      </w:r>
      <w:r w:rsidRPr="00481206">
        <w:rPr>
          <w:rFonts w:ascii="宋体" w:hAnsi="宋体" w:hint="eastAsia"/>
          <w:bCs/>
          <w:sz w:val="24"/>
        </w:rPr>
        <w:t>大于X，则执行看涨期权，组合A的价值为</w:t>
      </w:r>
      <w:r w:rsidRPr="00481206">
        <w:rPr>
          <w:rFonts w:ascii="宋体" w:hAnsi="宋体"/>
          <w:bCs/>
          <w:position w:val="-10"/>
          <w:sz w:val="24"/>
        </w:rPr>
        <w:object w:dxaOrig="300" w:dyaOrig="340">
          <v:shape id="_x0000_i1359" type="#_x0000_t75" style="width:15pt;height:17.25pt" o:ole="">
            <v:imagedata r:id="rId617" o:title=""/>
          </v:shape>
          <o:OLEObject Type="Embed" ProgID="Equation.3" ShapeID="_x0000_i1359" DrawAspect="Content" ObjectID="_1550061627" r:id="rId619"/>
        </w:object>
      </w:r>
      <w:r w:rsidRPr="00481206">
        <w:rPr>
          <w:rFonts w:ascii="宋体" w:hAnsi="宋体" w:hint="eastAsia"/>
          <w:bCs/>
          <w:sz w:val="24"/>
        </w:rPr>
        <w:t>；如果</w:t>
      </w:r>
      <w:r w:rsidRPr="00481206">
        <w:rPr>
          <w:rFonts w:ascii="宋体" w:hAnsi="宋体"/>
          <w:bCs/>
          <w:position w:val="-10"/>
          <w:sz w:val="24"/>
        </w:rPr>
        <w:object w:dxaOrig="300" w:dyaOrig="340">
          <v:shape id="_x0000_i1360" type="#_x0000_t75" style="width:15pt;height:17.25pt" o:ole="">
            <v:imagedata r:id="rId617" o:title=""/>
          </v:shape>
          <o:OLEObject Type="Embed" ProgID="Equation.3" ShapeID="_x0000_i1360" DrawAspect="Content" ObjectID="_1550061628" r:id="rId620"/>
        </w:object>
      </w:r>
      <w:r w:rsidRPr="00481206">
        <w:rPr>
          <w:rFonts w:ascii="宋体" w:hAnsi="宋体" w:hint="eastAsia"/>
          <w:bCs/>
          <w:sz w:val="24"/>
        </w:rPr>
        <w:t>小于和等于X，则不执行看涨期权，组合A的价值为X。因此，在T时刻，组合A的价值为：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1200" w:dyaOrig="340">
          <v:shape id="_x0000_i1361" type="#_x0000_t75" style="width:60pt;height:17.25pt" o:ole="">
            <v:imagedata r:id="rId621" o:title=""/>
          </v:shape>
          <o:OLEObject Type="Embed" ProgID="Equation.3" ShapeID="_x0000_i1361" DrawAspect="Content" ObjectID="_1550061629" r:id="rId622"/>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而在T时刻，组合B的价值为</w:t>
      </w:r>
      <w:r w:rsidRPr="00481206">
        <w:rPr>
          <w:rFonts w:ascii="宋体" w:hAnsi="宋体"/>
          <w:bCs/>
          <w:position w:val="-10"/>
          <w:sz w:val="24"/>
        </w:rPr>
        <w:object w:dxaOrig="300" w:dyaOrig="340">
          <v:shape id="_x0000_i1362" type="#_x0000_t75" style="width:15pt;height:17.25pt" o:ole="">
            <v:imagedata r:id="rId617" o:title=""/>
          </v:shape>
          <o:OLEObject Type="Embed" ProgID="Equation.3" ShapeID="_x0000_i1362" DrawAspect="Content" ObjectID="_1550061630" r:id="rId623"/>
        </w:object>
      </w:r>
      <w:r w:rsidRPr="00481206">
        <w:rPr>
          <w:rFonts w:ascii="宋体" w:hAnsi="宋体" w:hint="eastAsia"/>
          <w:bCs/>
          <w:sz w:val="24"/>
        </w:rPr>
        <w:t>，由于</w:t>
      </w:r>
      <w:r w:rsidRPr="00481206">
        <w:rPr>
          <w:rFonts w:ascii="宋体" w:hAnsi="宋体"/>
          <w:bCs/>
          <w:position w:val="-10"/>
          <w:sz w:val="24"/>
        </w:rPr>
        <w:object w:dxaOrig="1700" w:dyaOrig="340">
          <v:shape id="_x0000_i1363" type="#_x0000_t75" style="width:84.75pt;height:17.25pt" o:ole="">
            <v:imagedata r:id="rId624" o:title=""/>
          </v:shape>
          <o:OLEObject Type="Embed" ProgID="Equation.3" ShapeID="_x0000_i1363" DrawAspect="Content" ObjectID="_1550061631" r:id="rId625"/>
        </w:object>
      </w:r>
      <w:r w:rsidRPr="00481206">
        <w:rPr>
          <w:rFonts w:ascii="宋体" w:hAnsi="宋体" w:hint="eastAsia"/>
          <w:bCs/>
          <w:sz w:val="24"/>
        </w:rPr>
        <w:t>，因此在t时刻，组合A的价值也应该大于组合B的价值，因此：</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6"/>
          <w:sz w:val="24"/>
        </w:rPr>
        <w:object w:dxaOrig="1640" w:dyaOrig="320">
          <v:shape id="_x0000_i1364" type="#_x0000_t75" style="width:81.75pt;height:15.75pt" o:ole="">
            <v:imagedata r:id="rId626" o:title=""/>
          </v:shape>
          <o:OLEObject Type="Embed" ProgID="Equation.3" ShapeID="_x0000_i1364" DrawAspect="Content" ObjectID="_1550061632" r:id="rId627"/>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6"/>
          <w:sz w:val="24"/>
        </w:rPr>
        <w:object w:dxaOrig="1600" w:dyaOrig="320">
          <v:shape id="_x0000_i1365" type="#_x0000_t75" style="width:80.25pt;height:15.75pt" o:ole="">
            <v:imagedata r:id="rId628" o:title=""/>
          </v:shape>
          <o:OLEObject Type="Embed" ProgID="Equation.3" ShapeID="_x0000_i1365" DrawAspect="Content" ObjectID="_1550061633" r:id="rId629"/>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由于期权的价格一定为正，因此无收益资产欧式看涨期权的价格下限为：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2360" w:dyaOrig="360">
          <v:shape id="_x0000_i1366" type="#_x0000_t75" style="width:117.75pt;height:18pt" o:ole="">
            <v:imagedata r:id="rId630" o:title=""/>
          </v:shape>
          <o:OLEObject Type="Embed" ProgID="Equation.3" ShapeID="_x0000_i1366" DrawAspect="Content" ObjectID="_1550061634" r:id="rId631"/>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同时我们得出美式无收益资产看涨期权的价格下限：</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2460" w:dyaOrig="360">
          <v:shape id="_x0000_i1367" type="#_x0000_t75" style="width:123pt;height:18pt" o:ole="">
            <v:imagedata r:id="rId632" o:title=""/>
          </v:shape>
          <o:OLEObject Type="Embed" ProgID="Equation.3" ShapeID="_x0000_i1367" DrawAspect="Content" ObjectID="_1550061635" r:id="rId633"/>
        </w:objec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（2）有收益资产欧式看涨期权的价格下限，只要将上述组合A的现金改为</w:t>
      </w:r>
      <w:r w:rsidRPr="00481206">
        <w:rPr>
          <w:rFonts w:ascii="宋体" w:hAnsi="宋体"/>
          <w:bCs/>
          <w:position w:val="-6"/>
          <w:sz w:val="24"/>
        </w:rPr>
        <w:object w:dxaOrig="1280" w:dyaOrig="320">
          <v:shape id="_x0000_i1368" type="#_x0000_t75" style="width:63.75pt;height:15.75pt" o:ole="">
            <v:imagedata r:id="rId634" o:title=""/>
          </v:shape>
          <o:OLEObject Type="Embed" ProgID="Equation.3" ShapeID="_x0000_i1368" DrawAspect="Content" ObjectID="_1550061636" r:id="rId635"/>
        </w:object>
      </w:r>
      <w:r w:rsidRPr="00481206">
        <w:rPr>
          <w:rFonts w:ascii="宋体" w:hAnsi="宋体" w:hint="eastAsia"/>
          <w:bCs/>
          <w:sz w:val="24"/>
        </w:rPr>
        <w:t>，其中D为期权有效期内资产收益的现值，可以得出有收益资产欧式看涨期权的价格下限为：</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 xml:space="preserve"> </w:t>
      </w:r>
      <w:r w:rsidRPr="00481206">
        <w:rPr>
          <w:rFonts w:ascii="宋体" w:hAnsi="宋体"/>
          <w:bCs/>
          <w:position w:val="-10"/>
          <w:sz w:val="24"/>
        </w:rPr>
        <w:object w:dxaOrig="2780" w:dyaOrig="360">
          <v:shape id="_x0000_i1369" type="#_x0000_t75" style="width:138.75pt;height:18pt" o:ole="">
            <v:imagedata r:id="rId636" o:title=""/>
          </v:shape>
          <o:OLEObject Type="Embed" ProgID="Equation.3" ShapeID="_x0000_i1369" DrawAspect="Content" ObjectID="_1550061637" r:id="rId637"/>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同时我们得出美式有收益资产看涨期权的价格下限：</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2"/>
          <w:sz w:val="24"/>
        </w:rPr>
        <w:object w:dxaOrig="2960" w:dyaOrig="380">
          <v:shape id="_x0000_i1370" type="#_x0000_t75" style="width:147.75pt;height:18.75pt" o:ole="">
            <v:imagedata r:id="rId638" o:title=""/>
          </v:shape>
          <o:OLEObject Type="Embed" ProgID="Equation.3" ShapeID="_x0000_i1370" DrawAspect="Content" ObjectID="_1550061638" r:id="rId639"/>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2.欧式看跌期权价格的下限</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（1）无收益资产欧式看跌期权价格的下限。构造两种组合：</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组合C：一份欧式看跌期权加上一单位标的资产；</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组合D：金额为</w:t>
      </w:r>
      <w:r w:rsidRPr="00481206">
        <w:rPr>
          <w:rFonts w:ascii="宋体" w:hAnsi="宋体"/>
          <w:bCs/>
          <w:position w:val="-6"/>
          <w:sz w:val="24"/>
        </w:rPr>
        <w:object w:dxaOrig="859" w:dyaOrig="320">
          <v:shape id="_x0000_i1371" type="#_x0000_t75" style="width:42.75pt;height:15.75pt" o:ole="">
            <v:imagedata r:id="rId613" o:title=""/>
          </v:shape>
          <o:OLEObject Type="Embed" ProgID="Equation.3" ShapeID="_x0000_i1371" DrawAspect="Content" ObjectID="_1550061639" r:id="rId640"/>
        </w:object>
      </w:r>
      <w:r w:rsidRPr="00481206">
        <w:rPr>
          <w:rFonts w:ascii="宋体" w:hAnsi="宋体" w:hint="eastAsia"/>
          <w:bCs/>
          <w:sz w:val="24"/>
        </w:rPr>
        <w:t>的现金；</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在T时刻，如果</w:t>
      </w:r>
      <w:r w:rsidRPr="00481206">
        <w:rPr>
          <w:rFonts w:ascii="宋体" w:hAnsi="宋体"/>
          <w:bCs/>
          <w:position w:val="-10"/>
          <w:sz w:val="24"/>
        </w:rPr>
        <w:object w:dxaOrig="300" w:dyaOrig="340">
          <v:shape id="_x0000_i1372" type="#_x0000_t75" style="width:15pt;height:17.25pt" o:ole="">
            <v:imagedata r:id="rId617" o:title=""/>
          </v:shape>
          <o:OLEObject Type="Embed" ProgID="Equation.3" ShapeID="_x0000_i1372" DrawAspect="Content" ObjectID="_1550061640" r:id="rId641"/>
        </w:object>
      </w:r>
      <w:r w:rsidRPr="00481206">
        <w:rPr>
          <w:rFonts w:ascii="宋体" w:hAnsi="宋体" w:hint="eastAsia"/>
          <w:bCs/>
          <w:sz w:val="24"/>
        </w:rPr>
        <w:t>小于X，期权则被执行，组合C的价值为X；如果</w:t>
      </w:r>
      <w:r w:rsidRPr="00481206">
        <w:rPr>
          <w:rFonts w:ascii="宋体" w:hAnsi="宋体"/>
          <w:bCs/>
          <w:position w:val="-10"/>
          <w:sz w:val="24"/>
        </w:rPr>
        <w:object w:dxaOrig="300" w:dyaOrig="340">
          <v:shape id="_x0000_i1373" type="#_x0000_t75" style="width:15pt;height:17.25pt" o:ole="">
            <v:imagedata r:id="rId617" o:title=""/>
          </v:shape>
          <o:OLEObject Type="Embed" ProgID="Equation.3" ShapeID="_x0000_i1373" DrawAspect="Content" ObjectID="_1550061641" r:id="rId642"/>
        </w:object>
      </w:r>
      <w:r w:rsidRPr="00481206">
        <w:rPr>
          <w:rFonts w:ascii="宋体" w:hAnsi="宋体" w:hint="eastAsia"/>
          <w:bCs/>
          <w:sz w:val="24"/>
        </w:rPr>
        <w:t>大于X，期权不被执行，组合C的价值为</w:t>
      </w:r>
      <w:r w:rsidRPr="00481206">
        <w:rPr>
          <w:rFonts w:ascii="宋体" w:hAnsi="宋体"/>
          <w:bCs/>
          <w:position w:val="-10"/>
          <w:sz w:val="24"/>
        </w:rPr>
        <w:object w:dxaOrig="300" w:dyaOrig="340">
          <v:shape id="_x0000_i1374" type="#_x0000_t75" style="width:15pt;height:17.25pt" o:ole="">
            <v:imagedata r:id="rId617" o:title=""/>
          </v:shape>
          <o:OLEObject Type="Embed" ProgID="Equation.3" ShapeID="_x0000_i1374" DrawAspect="Content" ObjectID="_1550061642" r:id="rId643"/>
        </w:object>
      </w:r>
      <w:r w:rsidRPr="00481206">
        <w:rPr>
          <w:rFonts w:ascii="宋体" w:hAnsi="宋体" w:hint="eastAsia"/>
          <w:bCs/>
          <w:sz w:val="24"/>
        </w:rPr>
        <w:t>，因此组合C的价值为：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1200" w:dyaOrig="340">
          <v:shape id="_x0000_i1375" type="#_x0000_t75" style="width:60pt;height:17.25pt" o:ole="">
            <v:imagedata r:id="rId621" o:title=""/>
          </v:shape>
          <o:OLEObject Type="Embed" ProgID="Equation.3" ShapeID="_x0000_i1375" DrawAspect="Content" ObjectID="_1550061643" r:id="rId644"/>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假定组合D的现金以无风险利率进行投资，则在T时刻组合D的价值为X。由于组合C的价值在T时刻大于组合D，因此组合C在t时刻的价值也应大于组合D，即：</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1640" w:dyaOrig="360">
          <v:shape id="_x0000_i1376" type="#_x0000_t75" style="width:81.75pt;height:18pt" o:ole="">
            <v:imagedata r:id="rId645" o:title=""/>
          </v:shape>
          <o:OLEObject Type="Embed" ProgID="Equation.3" ShapeID="_x0000_i1376" DrawAspect="Content" ObjectID="_1550061644" r:id="rId646"/>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1680" w:dyaOrig="360">
          <v:shape id="_x0000_i1377" type="#_x0000_t75" style="width:84pt;height:18pt" o:ole="">
            <v:imagedata r:id="rId647" o:title=""/>
          </v:shape>
          <o:OLEObject Type="Embed" ProgID="Equation.3" ShapeID="_x0000_i1377" DrawAspect="Content" ObjectID="_1550061645" r:id="rId648"/>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由于期权价值一定为正，因此无收益资产欧式看跌期权的价格下限为：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2420" w:dyaOrig="360">
          <v:shape id="_x0000_i1378" type="#_x0000_t75" style="width:120.75pt;height:18pt" o:ole="">
            <v:imagedata r:id="rId649" o:title=""/>
          </v:shape>
          <o:OLEObject Type="Embed" ProgID="Equation.3" ShapeID="_x0000_i1378" DrawAspect="Content" ObjectID="_1550061646" r:id="rId650"/>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同时我们得出美式无收益资产看跌期权的价格下限：</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2439" w:dyaOrig="360">
          <v:shape id="_x0000_i1379" type="#_x0000_t75" style="width:122.25pt;height:18pt" o:ole="">
            <v:imagedata r:id="rId651" o:title=""/>
          </v:shape>
          <o:OLEObject Type="Embed" ProgID="Equation.3" ShapeID="_x0000_i1379" DrawAspect="Content" ObjectID="_1550061647" r:id="rId652"/>
        </w:objec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（2）有收益资产欧式看跌期权价格的下限</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只要将上述的组合D的现金改为</w:t>
      </w:r>
      <w:r w:rsidRPr="00481206">
        <w:rPr>
          <w:rFonts w:ascii="宋体" w:hAnsi="宋体"/>
          <w:bCs/>
          <w:position w:val="-6"/>
          <w:sz w:val="24"/>
        </w:rPr>
        <w:object w:dxaOrig="1280" w:dyaOrig="320">
          <v:shape id="_x0000_i1380" type="#_x0000_t75" style="width:63.75pt;height:15.75pt" o:ole="">
            <v:imagedata r:id="rId634" o:title=""/>
          </v:shape>
          <o:OLEObject Type="Embed" ProgID="Equation.3" ShapeID="_x0000_i1380" DrawAspect="Content" ObjectID="_1550061648" r:id="rId653"/>
        </w:object>
      </w:r>
      <w:r w:rsidRPr="00481206">
        <w:rPr>
          <w:rFonts w:ascii="宋体" w:hAnsi="宋体" w:hint="eastAsia"/>
          <w:bCs/>
          <w:sz w:val="24"/>
        </w:rPr>
        <w:t>就可以得到有收益资产欧式看跌期权的价格下限：</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2840" w:dyaOrig="360">
          <v:shape id="_x0000_i1381" type="#_x0000_t75" style="width:141.75pt;height:18pt" o:ole="">
            <v:imagedata r:id="rId654" o:title=""/>
          </v:shape>
          <o:OLEObject Type="Embed" ProgID="Equation.3" ShapeID="_x0000_i1381" DrawAspect="Content" ObjectID="_1550061649" r:id="rId655"/>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同时我们得出美式有收益资产看跌期权的价格下限</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2860" w:dyaOrig="360">
          <v:shape id="_x0000_i1382" type="#_x0000_t75" style="width:143.25pt;height:18pt" o:ole="">
            <v:imagedata r:id="rId656" o:title=""/>
          </v:shape>
          <o:OLEObject Type="Embed" ProgID="Equation.3" ShapeID="_x0000_i1382" DrawAspect="Content" ObjectID="_1550061650" r:id="rId657"/>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五、看涨期权和看跌期权之间的平价关系（put-call parity,PCR）</w:t>
      </w:r>
    </w:p>
    <w:p w:rsidR="00481206" w:rsidRPr="00481206" w:rsidRDefault="00481206" w:rsidP="00481206">
      <w:pPr>
        <w:spacing w:line="360" w:lineRule="auto"/>
        <w:rPr>
          <w:rFonts w:ascii="宋体" w:hAnsi="宋体"/>
          <w:bCs/>
          <w:sz w:val="24"/>
        </w:rPr>
      </w:pPr>
      <w:r w:rsidRPr="00481206">
        <w:rPr>
          <w:rFonts w:ascii="宋体" w:hAnsi="宋体" w:hint="eastAsia"/>
          <w:bCs/>
          <w:sz w:val="24"/>
        </w:rPr>
        <w:t xml:space="preserve">   （一）欧式看涨期权和看跌期权的平价关系</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1.无收益资产的欧式期权</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构造两种组合：</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组合A：一份欧式看涨期权加上金额为</w:t>
      </w:r>
      <w:r w:rsidRPr="00481206">
        <w:rPr>
          <w:rFonts w:ascii="宋体" w:hAnsi="宋体"/>
          <w:bCs/>
          <w:position w:val="-6"/>
          <w:sz w:val="24"/>
        </w:rPr>
        <w:object w:dxaOrig="859" w:dyaOrig="320">
          <v:shape id="_x0000_i1383" type="#_x0000_t75" style="width:42.75pt;height:15.75pt" o:ole="">
            <v:imagedata r:id="rId613" o:title=""/>
          </v:shape>
          <o:OLEObject Type="Embed" ProgID="Equation.3" ShapeID="_x0000_i1383" DrawAspect="Content" ObjectID="_1550061651" r:id="rId658"/>
        </w:object>
      </w:r>
      <w:r w:rsidRPr="00481206">
        <w:rPr>
          <w:rFonts w:ascii="宋体" w:hAnsi="宋体" w:hint="eastAsia"/>
          <w:bCs/>
          <w:sz w:val="24"/>
        </w:rPr>
        <w:t>的现金；</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组合B：一份有效期和协议价格与组合A中看涨期权相同的欧式看跌期权加上一单位标的资产</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可以看出，在期权到期时，两个组合的价值是相等的，均为</w:t>
      </w:r>
      <w:r w:rsidRPr="00481206">
        <w:rPr>
          <w:rFonts w:ascii="宋体" w:hAnsi="宋体"/>
          <w:bCs/>
          <w:position w:val="-10"/>
          <w:sz w:val="24"/>
        </w:rPr>
        <w:object w:dxaOrig="1200" w:dyaOrig="340">
          <v:shape id="_x0000_i1384" type="#_x0000_t75" style="width:60pt;height:17.25pt" o:ole="">
            <v:imagedata r:id="rId621" o:title=""/>
          </v:shape>
          <o:OLEObject Type="Embed" ProgID="Equation.3" ShapeID="_x0000_i1384" DrawAspect="Content" ObjectID="_1550061652" r:id="rId659"/>
        </w:object>
      </w:r>
      <w:r w:rsidRPr="00481206">
        <w:rPr>
          <w:rFonts w:ascii="宋体" w:hAnsi="宋体" w:hint="eastAsia"/>
          <w:bCs/>
          <w:sz w:val="24"/>
        </w:rPr>
        <w:t>。由于欧式期权不能提前执行，两组合在t时刻的价值也相等，即：</w:t>
      </w:r>
    </w:p>
    <w:p w:rsidR="00481206" w:rsidRPr="00481206" w:rsidRDefault="00481206" w:rsidP="00481206">
      <w:pPr>
        <w:spacing w:line="360" w:lineRule="auto"/>
        <w:ind w:firstLine="480"/>
        <w:rPr>
          <w:rFonts w:ascii="宋体" w:hAnsi="宋体"/>
          <w:bCs/>
          <w:sz w:val="24"/>
        </w:rPr>
      </w:pPr>
      <w:r w:rsidRPr="00481206">
        <w:rPr>
          <w:rFonts w:ascii="宋体" w:hAnsi="宋体"/>
          <w:bCs/>
          <w:position w:val="-10"/>
          <w:sz w:val="24"/>
        </w:rPr>
        <w:object w:dxaOrig="2020" w:dyaOrig="360">
          <v:shape id="_x0000_i1385" type="#_x0000_t75" style="width:101.25pt;height:18pt" o:ole="">
            <v:imagedata r:id="rId660" o:title=""/>
          </v:shape>
          <o:OLEObject Type="Embed" ProgID="Equation.3" ShapeID="_x0000_i1385" DrawAspect="Content" ObjectID="_1550061653" r:id="rId661"/>
        </w:objec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这就是无收益资产欧式看涨期权和看跌期权之间的平价关系。</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2.有收益资产的欧式期权</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只需在组合A中的现金改为</w:t>
      </w:r>
      <w:r w:rsidRPr="00481206">
        <w:rPr>
          <w:rFonts w:ascii="宋体" w:hAnsi="宋体"/>
          <w:bCs/>
          <w:position w:val="-6"/>
          <w:sz w:val="24"/>
        </w:rPr>
        <w:object w:dxaOrig="1280" w:dyaOrig="320">
          <v:shape id="_x0000_i1386" type="#_x0000_t75" style="width:63.75pt;height:15.75pt" o:ole="">
            <v:imagedata r:id="rId634" o:title=""/>
          </v:shape>
          <o:OLEObject Type="Embed" ProgID="Equation.3" ShapeID="_x0000_i1386" DrawAspect="Content" ObjectID="_1550061654" r:id="rId662"/>
        </w:object>
      </w:r>
      <w:r w:rsidRPr="00481206">
        <w:rPr>
          <w:rFonts w:ascii="宋体" w:hAnsi="宋体" w:hint="eastAsia"/>
          <w:bCs/>
          <w:sz w:val="24"/>
        </w:rPr>
        <w:t>即可，这是平价关系为：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2439" w:dyaOrig="360">
          <v:shape id="_x0000_i1387" type="#_x0000_t75" style="width:122.25pt;height:18pt" o:ole="">
            <v:imagedata r:id="rId663" o:title=""/>
          </v:shape>
          <o:OLEObject Type="Embed" ProgID="Equation.3" ShapeID="_x0000_i1387" DrawAspect="Content" ObjectID="_1550061655" r:id="rId664"/>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对于等式</w:t>
      </w:r>
      <w:r w:rsidRPr="00481206">
        <w:rPr>
          <w:rFonts w:ascii="宋体" w:hAnsi="宋体"/>
          <w:bCs/>
          <w:position w:val="-10"/>
          <w:sz w:val="24"/>
        </w:rPr>
        <w:object w:dxaOrig="2020" w:dyaOrig="360">
          <v:shape id="_x0000_i1388" type="#_x0000_t75" style="width:101.25pt;height:18pt" o:ole="">
            <v:imagedata r:id="rId660" o:title=""/>
          </v:shape>
          <o:OLEObject Type="Embed" ProgID="Equation.3" ShapeID="_x0000_i1388" DrawAspect="Content" ObjectID="_1550061656" r:id="rId665"/>
        </w:object>
      </w:r>
      <w:r w:rsidRPr="00481206">
        <w:rPr>
          <w:rFonts w:ascii="宋体" w:hAnsi="宋体" w:hint="eastAsia"/>
          <w:bCs/>
          <w:sz w:val="24"/>
        </w:rPr>
        <w:t>，可以根据看跌期权价格、标的资产价格、执行价格、期限和无风险利率来求出看涨期权的价格。如果该等式不成立，就可以发生套利行为，从而使等式成立。</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（二）美式看涨期权和看跌期权的平价关系</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1.无收益资产的美式期权</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lastRenderedPageBreak/>
        <w:t>我们用C和P分别表示美式看涨期权和看跌期权的价格。构造如下两个组合：</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组合A：一份欧式看涨期权和金额X的现金；</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组合B：一份美式看跌期权加上一单位标的资产；</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sz w:val="24"/>
        </w:rPr>
        <w:t>如果美式期权没有提起执行，则在T时刻组合B的价值为</w:t>
      </w:r>
      <w:r w:rsidRPr="00481206">
        <w:rPr>
          <w:rFonts w:ascii="宋体" w:hAnsi="宋体"/>
          <w:bCs/>
          <w:position w:val="-10"/>
          <w:sz w:val="24"/>
        </w:rPr>
        <w:object w:dxaOrig="1200" w:dyaOrig="340">
          <v:shape id="_x0000_i1389" type="#_x0000_t75" style="width:60pt;height:17.25pt" o:ole="">
            <v:imagedata r:id="rId621" o:title=""/>
          </v:shape>
          <o:OLEObject Type="Embed" ProgID="Equation.3" ShapeID="_x0000_i1389" DrawAspect="Content" ObjectID="_1550061657" r:id="rId666"/>
        </w:object>
      </w:r>
      <w:r w:rsidRPr="00481206">
        <w:rPr>
          <w:rFonts w:ascii="宋体" w:hAnsi="宋体" w:hint="eastAsia"/>
          <w:bCs/>
          <w:sz w:val="24"/>
        </w:rPr>
        <w:t>，而此时A的价值为</w:t>
      </w:r>
      <w:r w:rsidRPr="00481206">
        <w:rPr>
          <w:rFonts w:ascii="宋体" w:hAnsi="宋体"/>
          <w:bCs/>
          <w:position w:val="-10"/>
          <w:sz w:val="24"/>
        </w:rPr>
        <w:object w:dxaOrig="2600" w:dyaOrig="360">
          <v:shape id="_x0000_i1390" type="#_x0000_t75" style="width:129.75pt;height:18pt" o:ole="">
            <v:imagedata r:id="rId667" o:title=""/>
          </v:shape>
          <o:OLEObject Type="Embed" ProgID="Equation.3" ShapeID="_x0000_i1390" DrawAspect="Content" ObjectID="_1550061658" r:id="rId668"/>
        </w:object>
      </w:r>
      <w:r w:rsidRPr="00481206">
        <w:rPr>
          <w:rFonts w:ascii="宋体" w:hAnsi="宋体" w:hint="eastAsia"/>
          <w:bCs/>
          <w:sz w:val="24"/>
        </w:rPr>
        <w:t>，因此组合A的价值大于B。</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bCs/>
          <w:sz w:val="24"/>
        </w:rPr>
        <w:t>如果美式期权提起执行，则在</w:t>
      </w:r>
      <w:r w:rsidRPr="00481206">
        <w:rPr>
          <w:rFonts w:ascii="宋体" w:hAnsi="宋体"/>
          <w:bCs/>
          <w:position w:val="-6"/>
          <w:sz w:val="24"/>
        </w:rPr>
        <w:object w:dxaOrig="200" w:dyaOrig="220">
          <v:shape id="_x0000_i1391" type="#_x0000_t75" style="width:9.75pt;height:11.25pt" o:ole="">
            <v:imagedata r:id="rId669" o:title=""/>
          </v:shape>
          <o:OLEObject Type="Embed" ProgID="Equation.3" ShapeID="_x0000_i1391" DrawAspect="Content" ObjectID="_1550061659" r:id="rId670"/>
        </w:object>
      </w:r>
      <w:r w:rsidRPr="00481206">
        <w:rPr>
          <w:rFonts w:ascii="宋体" w:hAnsi="宋体" w:hint="eastAsia"/>
          <w:bCs/>
          <w:sz w:val="24"/>
        </w:rPr>
        <w:t>时刻，组合B的价值为</w:t>
      </w:r>
      <w:r w:rsidRPr="00481206">
        <w:rPr>
          <w:rFonts w:ascii="宋体" w:hAnsi="宋体"/>
          <w:bCs/>
          <w:position w:val="-4"/>
          <w:sz w:val="24"/>
        </w:rPr>
        <w:object w:dxaOrig="279" w:dyaOrig="260">
          <v:shape id="_x0000_i1392" type="#_x0000_t75" style="width:14.25pt;height:12.75pt" o:ole="">
            <v:imagedata r:id="rId671" o:title=""/>
          </v:shape>
          <o:OLEObject Type="Embed" ProgID="Equation.3" ShapeID="_x0000_i1392" DrawAspect="Content" ObjectID="_1550061660" r:id="rId672"/>
        </w:object>
      </w:r>
      <w:r w:rsidRPr="00481206">
        <w:rPr>
          <w:rFonts w:ascii="宋体" w:hAnsi="宋体" w:hint="eastAsia"/>
          <w:bCs/>
          <w:sz w:val="24"/>
        </w:rPr>
        <w:t>，而此时组合A的价值大于等于</w:t>
      </w:r>
      <w:r w:rsidRPr="00481206">
        <w:rPr>
          <w:rFonts w:ascii="宋体" w:hAnsi="宋体"/>
          <w:position w:val="-6"/>
          <w:sz w:val="24"/>
        </w:rPr>
        <w:object w:dxaOrig="760" w:dyaOrig="320">
          <v:shape id="_x0000_i1393" type="#_x0000_t75" style="width:38.25pt;height:15.75pt" o:ole="">
            <v:imagedata r:id="rId673" o:title=""/>
          </v:shape>
          <o:OLEObject Type="Embed" ProgID="Equation.3" ShapeID="_x0000_i1393" DrawAspect="Content" ObjectID="_1550061661" r:id="rId674"/>
        </w:object>
      </w:r>
      <w:r w:rsidRPr="00481206">
        <w:rPr>
          <w:rFonts w:ascii="宋体" w:hAnsi="宋体" w:hint="eastAsia"/>
          <w:sz w:val="24"/>
        </w:rPr>
        <w:t>，因此组合A的价值也大于组合B。</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因此，无论美式期权是否提起执行，组合A的价值都高于组合B的价值，因此在当期t时刻，组合A的价值也应大于B的价值，即：</w:t>
      </w:r>
    </w:p>
    <w:p w:rsidR="00481206" w:rsidRPr="00481206" w:rsidRDefault="00481206" w:rsidP="00481206">
      <w:pPr>
        <w:spacing w:line="360" w:lineRule="auto"/>
        <w:ind w:firstLineChars="200" w:firstLine="480"/>
        <w:rPr>
          <w:rFonts w:ascii="宋体" w:hAnsi="宋体"/>
          <w:sz w:val="24"/>
        </w:rPr>
      </w:pPr>
      <w:r w:rsidRPr="00481206">
        <w:rPr>
          <w:rFonts w:ascii="宋体" w:hAnsi="宋体"/>
          <w:position w:val="-6"/>
          <w:sz w:val="24"/>
        </w:rPr>
        <w:object w:dxaOrig="1460" w:dyaOrig="279">
          <v:shape id="_x0000_i1394" type="#_x0000_t75" style="width:72.75pt;height:14.25pt" o:ole="">
            <v:imagedata r:id="rId675" o:title=""/>
          </v:shape>
          <o:OLEObject Type="Embed" ProgID="Equation.3" ShapeID="_x0000_i1394" DrawAspect="Content" ObjectID="_1550061662" r:id="rId676"/>
        </w:objec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因此：</w:t>
      </w:r>
    </w:p>
    <w:p w:rsidR="00481206" w:rsidRPr="00481206" w:rsidRDefault="00481206" w:rsidP="00481206">
      <w:pPr>
        <w:spacing w:line="360" w:lineRule="auto"/>
        <w:ind w:firstLineChars="200" w:firstLine="480"/>
        <w:rPr>
          <w:rFonts w:ascii="宋体" w:hAnsi="宋体"/>
          <w:sz w:val="24"/>
        </w:rPr>
      </w:pPr>
      <w:r w:rsidRPr="00481206">
        <w:rPr>
          <w:rFonts w:ascii="宋体" w:hAnsi="宋体"/>
          <w:position w:val="-6"/>
          <w:sz w:val="24"/>
        </w:rPr>
        <w:object w:dxaOrig="1460" w:dyaOrig="279">
          <v:shape id="_x0000_i1395" type="#_x0000_t75" style="width:72.75pt;height:14.25pt" o:ole="">
            <v:imagedata r:id="rId677" o:title=""/>
          </v:shape>
          <o:OLEObject Type="Embed" ProgID="Equation.3" ShapeID="_x0000_i1395" DrawAspect="Content" ObjectID="_1550061663" r:id="rId678"/>
        </w:objec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由于美式期权一般都是提前执行，因此无法得到美式看涨期权和看跌期权精确的平价关系，但可以看得出结论，即无收益美式必须符合如上不等式。</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2. 有收益资产的美式期权</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即在组合A中的现金改为D+X，这样可得到如下不等式：</w:t>
      </w:r>
    </w:p>
    <w:p w:rsidR="00481206" w:rsidRPr="00481206" w:rsidRDefault="00481206" w:rsidP="00481206">
      <w:pPr>
        <w:spacing w:line="360" w:lineRule="auto"/>
        <w:ind w:firstLineChars="200" w:firstLine="480"/>
        <w:rPr>
          <w:rFonts w:ascii="宋体" w:hAnsi="宋体"/>
          <w:sz w:val="24"/>
        </w:rPr>
      </w:pPr>
      <w:r w:rsidRPr="00481206">
        <w:rPr>
          <w:rFonts w:ascii="宋体" w:hAnsi="宋体"/>
          <w:position w:val="-6"/>
          <w:sz w:val="24"/>
        </w:rPr>
        <w:object w:dxaOrig="1880" w:dyaOrig="279">
          <v:shape id="_x0000_i1396" type="#_x0000_t75" style="width:93.75pt;height:14.25pt" o:ole="">
            <v:imagedata r:id="rId679" o:title=""/>
          </v:shape>
          <o:OLEObject Type="Embed" ProgID="Equation.3" ShapeID="_x0000_i1396" DrawAspect="Content" ObjectID="_1550061664" r:id="rId680"/>
        </w:object>
      </w:r>
    </w:p>
    <w:p w:rsidR="00481206" w:rsidRPr="00481206" w:rsidRDefault="00481206" w:rsidP="00481206">
      <w:pPr>
        <w:spacing w:line="360" w:lineRule="auto"/>
        <w:jc w:val="center"/>
        <w:rPr>
          <w:rFonts w:ascii="宋体" w:hAnsi="宋体"/>
          <w:bCs/>
          <w:sz w:val="24"/>
        </w:rPr>
      </w:pPr>
      <w:r w:rsidRPr="00481206">
        <w:rPr>
          <w:rFonts w:ascii="宋体" w:hAnsi="宋体" w:hint="eastAsia"/>
          <w:bCs/>
          <w:sz w:val="24"/>
        </w:rPr>
        <w:t>第二节 金融期权的定价</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一、Black-Scholes期权定价公式</w:t>
      </w:r>
    </w:p>
    <w:p w:rsidR="00481206" w:rsidRPr="00481206" w:rsidRDefault="00481206" w:rsidP="00481206">
      <w:pPr>
        <w:spacing w:line="360" w:lineRule="auto"/>
        <w:ind w:firstLine="480"/>
        <w:rPr>
          <w:rFonts w:ascii="宋体" w:hAnsi="宋体"/>
          <w:bCs/>
          <w:sz w:val="24"/>
        </w:rPr>
      </w:pPr>
      <w:r w:rsidRPr="00481206">
        <w:rPr>
          <w:rFonts w:ascii="宋体" w:hAnsi="宋体" w:hint="eastAsia"/>
          <w:bCs/>
          <w:sz w:val="24"/>
        </w:rPr>
        <w:t>该公式是由美国经济学家Fischer Black和Myron Scholes发表的《期权定价和公司负债》（The pricing of Options and Corporate Liabilities）一文中提出，主要是适用于欧式看涨期权的定价模型。</w:t>
      </w:r>
    </w:p>
    <w:p w:rsidR="00481206" w:rsidRPr="00481206" w:rsidRDefault="00481206" w:rsidP="00481206">
      <w:pPr>
        <w:spacing w:line="360" w:lineRule="auto"/>
        <w:ind w:firstLineChars="150" w:firstLine="360"/>
        <w:rPr>
          <w:rFonts w:ascii="宋体" w:hAnsi="宋体"/>
          <w:bCs/>
          <w:sz w:val="24"/>
        </w:rPr>
      </w:pPr>
      <w:r w:rsidRPr="00481206">
        <w:rPr>
          <w:rFonts w:ascii="宋体" w:hAnsi="宋体" w:hint="eastAsia"/>
          <w:bCs/>
          <w:sz w:val="24"/>
        </w:rPr>
        <w:t>（一）基本假定</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1.在期权到期之前，标的资产无任何收益支付，于是，标的资产的价格变动时连续的；</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2.存在一个固定的无风险利率，投资者可以利用该无风险利率进行无限制的借入或贷出；</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3.不存在影响收益的任何外部因素，即不存在交易成本、税收等；</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4.所有的证券都可以无限制的细分；</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lastRenderedPageBreak/>
        <w:t>5.不存在无风险套利机会；</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6.标的资产的价格变动满足“几何布朗运动”，即：</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bCs/>
          <w:position w:val="-10"/>
          <w:sz w:val="24"/>
        </w:rPr>
        <w:object w:dxaOrig="1760" w:dyaOrig="320">
          <v:shape id="_x0000_i1397" type="#_x0000_t75" style="width:87.75pt;height:15.75pt" o:ole="">
            <v:imagedata r:id="rId681" o:title=""/>
          </v:shape>
          <o:OLEObject Type="Embed" ProgID="Equation.3" ShapeID="_x0000_i1397" DrawAspect="Content" ObjectID="_1550061665" r:id="rId682"/>
        </w:objec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其中，</w:t>
      </w:r>
      <w:r w:rsidRPr="00481206">
        <w:rPr>
          <w:rFonts w:ascii="宋体" w:hAnsi="宋体"/>
          <w:bCs/>
          <w:position w:val="-6"/>
          <w:sz w:val="24"/>
        </w:rPr>
        <w:object w:dxaOrig="340" w:dyaOrig="279">
          <v:shape id="_x0000_i1398" type="#_x0000_t75" style="width:17.25pt;height:14.25pt" o:ole="">
            <v:imagedata r:id="rId683" o:title=""/>
          </v:shape>
          <o:OLEObject Type="Embed" ProgID="Equation.3" ShapeID="_x0000_i1398" DrawAspect="Content" ObjectID="_1550061666" r:id="rId684"/>
        </w:object>
      </w:r>
      <w:r w:rsidRPr="00481206">
        <w:rPr>
          <w:rFonts w:ascii="宋体" w:hAnsi="宋体" w:hint="eastAsia"/>
          <w:bCs/>
          <w:sz w:val="24"/>
        </w:rPr>
        <w:t>为标的物价格的无穷小的变化值；</w:t>
      </w:r>
      <w:r w:rsidRPr="00481206">
        <w:rPr>
          <w:rFonts w:ascii="宋体" w:hAnsi="宋体"/>
          <w:bCs/>
          <w:position w:val="-6"/>
          <w:sz w:val="24"/>
        </w:rPr>
        <w:object w:dxaOrig="279" w:dyaOrig="279">
          <v:shape id="_x0000_i1399" type="#_x0000_t75" style="width:14.25pt;height:14.25pt" o:ole="">
            <v:imagedata r:id="rId685" o:title=""/>
          </v:shape>
          <o:OLEObject Type="Embed" ProgID="Equation.3" ShapeID="_x0000_i1399" DrawAspect="Content" ObjectID="_1550061667" r:id="rId686"/>
        </w:object>
      </w:r>
      <w:r w:rsidRPr="00481206">
        <w:rPr>
          <w:rFonts w:ascii="宋体" w:hAnsi="宋体" w:hint="eastAsia"/>
          <w:bCs/>
          <w:sz w:val="24"/>
        </w:rPr>
        <w:t>为时间的无穷小的变化值；</w:t>
      </w:r>
      <w:r w:rsidRPr="00481206">
        <w:rPr>
          <w:rFonts w:ascii="宋体" w:hAnsi="宋体"/>
          <w:bCs/>
          <w:position w:val="-10"/>
          <w:sz w:val="24"/>
        </w:rPr>
        <w:object w:dxaOrig="240" w:dyaOrig="260">
          <v:shape id="_x0000_i1400" type="#_x0000_t75" style="width:12pt;height:12.75pt" o:ole="">
            <v:imagedata r:id="rId687" o:title=""/>
          </v:shape>
          <o:OLEObject Type="Embed" ProgID="Equation.3" ShapeID="_x0000_i1400" DrawAspect="Content" ObjectID="_1550061668" r:id="rId688"/>
        </w:object>
      </w:r>
      <w:r w:rsidRPr="00481206">
        <w:rPr>
          <w:rFonts w:ascii="宋体" w:hAnsi="宋体" w:hint="eastAsia"/>
          <w:bCs/>
          <w:sz w:val="24"/>
        </w:rPr>
        <w:t>为标的资产在每一无穷小的期间内的平均收益率；</w:t>
      </w:r>
      <w:r w:rsidRPr="00481206">
        <w:rPr>
          <w:rFonts w:ascii="宋体" w:hAnsi="宋体"/>
          <w:bCs/>
          <w:position w:val="-6"/>
          <w:sz w:val="24"/>
        </w:rPr>
        <w:object w:dxaOrig="240" w:dyaOrig="220">
          <v:shape id="_x0000_i1401" type="#_x0000_t75" style="width:12pt;height:11.25pt" o:ole="">
            <v:imagedata r:id="rId689" o:title=""/>
          </v:shape>
          <o:OLEObject Type="Embed" ProgID="Equation.3" ShapeID="_x0000_i1401" DrawAspect="Content" ObjectID="_1550061669" r:id="rId690"/>
        </w:object>
      </w:r>
      <w:r w:rsidRPr="00481206">
        <w:rPr>
          <w:rFonts w:ascii="宋体" w:hAnsi="宋体" w:hint="eastAsia"/>
          <w:bCs/>
          <w:sz w:val="24"/>
        </w:rPr>
        <w:t>为标的资产价格的波动率，也就是标的资产在没一无穷小的期间内的平均收益率的标准差；</w:t>
      </w:r>
      <w:r w:rsidRPr="00481206">
        <w:rPr>
          <w:rFonts w:ascii="宋体" w:hAnsi="宋体"/>
          <w:bCs/>
          <w:position w:val="-6"/>
          <w:sz w:val="24"/>
        </w:rPr>
        <w:object w:dxaOrig="300" w:dyaOrig="279">
          <v:shape id="_x0000_i1402" type="#_x0000_t75" style="width:15pt;height:14.25pt" o:ole="">
            <v:imagedata r:id="rId691" o:title=""/>
          </v:shape>
          <o:OLEObject Type="Embed" ProgID="Equation.3" ShapeID="_x0000_i1402" DrawAspect="Content" ObjectID="_1550061670" r:id="rId692"/>
        </w:object>
      </w:r>
      <w:r w:rsidRPr="00481206">
        <w:rPr>
          <w:rFonts w:ascii="宋体" w:hAnsi="宋体" w:hint="eastAsia"/>
          <w:bCs/>
          <w:sz w:val="24"/>
        </w:rPr>
        <w:t>为均值为</w:t>
      </w:r>
      <w:r w:rsidRPr="00481206">
        <w:rPr>
          <w:rFonts w:ascii="宋体" w:hAnsi="宋体"/>
          <w:bCs/>
          <w:position w:val="-6"/>
          <w:sz w:val="24"/>
        </w:rPr>
        <w:object w:dxaOrig="400" w:dyaOrig="279">
          <v:shape id="_x0000_i1403" type="#_x0000_t75" style="width:20.25pt;height:14.25pt" o:ole="">
            <v:imagedata r:id="rId693" o:title=""/>
          </v:shape>
          <o:OLEObject Type="Embed" ProgID="Equation.3" ShapeID="_x0000_i1403" DrawAspect="Content" ObjectID="_1550061671" r:id="rId694"/>
        </w:object>
      </w:r>
      <w:r w:rsidRPr="00481206">
        <w:rPr>
          <w:rFonts w:ascii="宋体" w:hAnsi="宋体" w:hint="eastAsia"/>
          <w:bCs/>
          <w:sz w:val="24"/>
        </w:rPr>
        <w:t>，方差为</w:t>
      </w:r>
      <w:r w:rsidRPr="00481206">
        <w:rPr>
          <w:rFonts w:ascii="宋体" w:hAnsi="宋体"/>
          <w:bCs/>
          <w:position w:val="-6"/>
          <w:sz w:val="24"/>
        </w:rPr>
        <w:object w:dxaOrig="360" w:dyaOrig="279">
          <v:shape id="_x0000_i1404" type="#_x0000_t75" style="width:18pt;height:14.25pt" o:ole="">
            <v:imagedata r:id="rId695" o:title=""/>
          </v:shape>
          <o:OLEObject Type="Embed" ProgID="Equation.3" ShapeID="_x0000_i1404" DrawAspect="Content" ObjectID="_1550061672" r:id="rId696"/>
        </w:object>
      </w:r>
      <w:r w:rsidRPr="00481206">
        <w:rPr>
          <w:rFonts w:ascii="宋体" w:hAnsi="宋体" w:hint="eastAsia"/>
          <w:bCs/>
          <w:sz w:val="24"/>
        </w:rPr>
        <w:t>的无穷小的随机变量。</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（二）欧式看涨期权定价模型（以普通股票为标的物）</w:t>
      </w:r>
    </w:p>
    <w:p w:rsidR="00481206" w:rsidRPr="00481206" w:rsidRDefault="00481206" w:rsidP="00481206">
      <w:pPr>
        <w:spacing w:line="360" w:lineRule="auto"/>
        <w:ind w:firstLine="555"/>
        <w:rPr>
          <w:rFonts w:ascii="宋体" w:hAnsi="宋体"/>
          <w:bCs/>
          <w:sz w:val="24"/>
        </w:rPr>
      </w:pPr>
      <w:r w:rsidRPr="00481206">
        <w:rPr>
          <w:rFonts w:ascii="宋体" w:hAnsi="宋体"/>
          <w:bCs/>
          <w:position w:val="-10"/>
          <w:sz w:val="24"/>
        </w:rPr>
        <w:object w:dxaOrig="2580" w:dyaOrig="360">
          <v:shape id="_x0000_i1405" type="#_x0000_t75" style="width:129pt;height:18pt" o:ole="">
            <v:imagedata r:id="rId697" o:title=""/>
          </v:shape>
          <o:OLEObject Type="Embed" ProgID="Equation.3" ShapeID="_x0000_i1405" DrawAspect="Content" ObjectID="_1550061673" r:id="rId698"/>
        </w:object>
      </w:r>
    </w:p>
    <w:p w:rsidR="00481206" w:rsidRPr="00481206" w:rsidRDefault="00481206" w:rsidP="00481206">
      <w:pPr>
        <w:spacing w:line="360" w:lineRule="auto"/>
        <w:ind w:firstLine="555"/>
        <w:rPr>
          <w:rFonts w:ascii="宋体" w:hAnsi="宋体"/>
          <w:bCs/>
          <w:sz w:val="24"/>
        </w:rPr>
      </w:pPr>
      <w:r w:rsidRPr="00481206">
        <w:rPr>
          <w:rFonts w:ascii="宋体" w:hAnsi="宋体" w:hint="eastAsia"/>
          <w:bCs/>
          <w:sz w:val="24"/>
        </w:rPr>
        <w:t>其中：</w:t>
      </w:r>
    </w:p>
    <w:p w:rsidR="00481206" w:rsidRPr="00481206" w:rsidRDefault="00481206" w:rsidP="00481206">
      <w:pPr>
        <w:spacing w:line="360" w:lineRule="auto"/>
        <w:ind w:firstLine="555"/>
        <w:rPr>
          <w:rFonts w:ascii="宋体" w:hAnsi="宋体"/>
          <w:bCs/>
          <w:sz w:val="24"/>
        </w:rPr>
      </w:pPr>
      <w:r w:rsidRPr="00481206">
        <w:rPr>
          <w:rFonts w:ascii="宋体" w:hAnsi="宋体"/>
          <w:bCs/>
          <w:position w:val="-28"/>
          <w:sz w:val="24"/>
        </w:rPr>
        <w:object w:dxaOrig="2640" w:dyaOrig="980">
          <v:shape id="_x0000_i1406" type="#_x0000_t75" style="width:132pt;height:48.75pt" o:ole="">
            <v:imagedata r:id="rId699" o:title=""/>
          </v:shape>
          <o:OLEObject Type="Embed" ProgID="Equation.3" ShapeID="_x0000_i1406" DrawAspect="Content" ObjectID="_1550061674" r:id="rId700"/>
        </w:object>
      </w:r>
    </w:p>
    <w:p w:rsidR="00481206" w:rsidRPr="00481206" w:rsidRDefault="00481206" w:rsidP="00481206">
      <w:pPr>
        <w:spacing w:line="360" w:lineRule="auto"/>
        <w:ind w:firstLine="555"/>
        <w:rPr>
          <w:rFonts w:ascii="宋体" w:hAnsi="宋体"/>
          <w:bCs/>
          <w:sz w:val="24"/>
        </w:rPr>
      </w:pPr>
      <w:r w:rsidRPr="00481206">
        <w:rPr>
          <w:rFonts w:ascii="宋体" w:hAnsi="宋体"/>
          <w:bCs/>
          <w:position w:val="-10"/>
          <w:sz w:val="24"/>
        </w:rPr>
        <w:object w:dxaOrig="1520" w:dyaOrig="380">
          <v:shape id="_x0000_i1407" type="#_x0000_t75" style="width:75.75pt;height:18.75pt" o:ole="">
            <v:imagedata r:id="rId701" o:title=""/>
          </v:shape>
          <o:OLEObject Type="Embed" ProgID="Equation.3" ShapeID="_x0000_i1407" DrawAspect="Content" ObjectID="_1550061675" r:id="rId702"/>
        </w:object>
      </w:r>
    </w:p>
    <w:p w:rsidR="00481206" w:rsidRPr="00481206" w:rsidRDefault="00481206" w:rsidP="00481206">
      <w:pPr>
        <w:spacing w:line="360" w:lineRule="auto"/>
        <w:ind w:firstLine="555"/>
        <w:rPr>
          <w:rFonts w:ascii="宋体" w:hAnsi="宋体"/>
          <w:bCs/>
          <w:sz w:val="24"/>
        </w:rPr>
      </w:pPr>
      <w:r w:rsidRPr="00481206">
        <w:rPr>
          <w:rFonts w:ascii="宋体" w:hAnsi="宋体" w:hint="eastAsia"/>
          <w:bCs/>
          <w:sz w:val="24"/>
        </w:rPr>
        <w:t>其中，C为看涨期权的价格；S为标的资产的市场价格；X为看涨期权的协定价格；T为期权的有效期；</w:t>
      </w:r>
      <w:r w:rsidRPr="00481206">
        <w:rPr>
          <w:rFonts w:ascii="宋体" w:hAnsi="宋体"/>
          <w:bCs/>
          <w:position w:val="-10"/>
          <w:sz w:val="24"/>
        </w:rPr>
        <w:object w:dxaOrig="520" w:dyaOrig="320">
          <v:shape id="_x0000_i1408" type="#_x0000_t75" style="width:26.25pt;height:15.75pt" o:ole="">
            <v:imagedata r:id="rId703" o:title=""/>
          </v:shape>
          <o:OLEObject Type="Embed" ProgID="Equation.3" ShapeID="_x0000_i1408" DrawAspect="Content" ObjectID="_1550061676" r:id="rId704"/>
        </w:object>
      </w:r>
      <w:r w:rsidRPr="00481206">
        <w:rPr>
          <w:rFonts w:ascii="宋体" w:hAnsi="宋体" w:hint="eastAsia"/>
          <w:bCs/>
          <w:sz w:val="24"/>
        </w:rPr>
        <w:t>为自然对数；e为自然对数之底的近似值；</w:t>
      </w:r>
      <w:r w:rsidRPr="00481206">
        <w:rPr>
          <w:rFonts w:ascii="宋体" w:hAnsi="宋体"/>
          <w:bCs/>
          <w:position w:val="-6"/>
          <w:sz w:val="24"/>
        </w:rPr>
        <w:object w:dxaOrig="240" w:dyaOrig="220">
          <v:shape id="_x0000_i1409" type="#_x0000_t75" style="width:12pt;height:11.25pt" o:ole="">
            <v:imagedata r:id="rId705" o:title=""/>
          </v:shape>
          <o:OLEObject Type="Embed" ProgID="Equation.3" ShapeID="_x0000_i1409" DrawAspect="Content" ObjectID="_1550061677" r:id="rId706"/>
        </w:object>
      </w:r>
      <w:r w:rsidRPr="00481206">
        <w:rPr>
          <w:rFonts w:ascii="宋体" w:hAnsi="宋体" w:hint="eastAsia"/>
          <w:bCs/>
          <w:sz w:val="24"/>
        </w:rPr>
        <w:t>为标的物价格的波动率；</w:t>
      </w:r>
      <w:r w:rsidRPr="00481206">
        <w:rPr>
          <w:rFonts w:ascii="宋体" w:hAnsi="宋体"/>
          <w:bCs/>
          <w:position w:val="-10"/>
          <w:sz w:val="24"/>
        </w:rPr>
        <w:object w:dxaOrig="540" w:dyaOrig="320">
          <v:shape id="_x0000_i1410" type="#_x0000_t75" style="width:27pt;height:15.75pt" o:ole="">
            <v:imagedata r:id="rId707" o:title=""/>
          </v:shape>
          <o:OLEObject Type="Embed" ProgID="Equation.3" ShapeID="_x0000_i1410" DrawAspect="Content" ObjectID="_1550061678" r:id="rId708"/>
        </w:object>
      </w:r>
      <w:r w:rsidRPr="00481206">
        <w:rPr>
          <w:rFonts w:ascii="宋体" w:hAnsi="宋体" w:hint="eastAsia"/>
          <w:bCs/>
          <w:sz w:val="24"/>
        </w:rPr>
        <w:t>为累积标准正态分布函数。</w:t>
      </w:r>
    </w:p>
    <w:p w:rsidR="00481206" w:rsidRPr="00481206" w:rsidRDefault="00481206" w:rsidP="00481206">
      <w:pPr>
        <w:spacing w:line="360" w:lineRule="auto"/>
        <w:ind w:firstLineChars="200" w:firstLine="480"/>
        <w:rPr>
          <w:rFonts w:ascii="宋体" w:hAnsi="宋体"/>
          <w:bCs/>
          <w:sz w:val="24"/>
        </w:rPr>
      </w:pPr>
      <w:r w:rsidRPr="00481206">
        <w:rPr>
          <w:rFonts w:ascii="宋体" w:hAnsi="宋体" w:hint="eastAsia"/>
          <w:bCs/>
          <w:sz w:val="24"/>
        </w:rPr>
        <w:t>二、二项式定价模型</w:t>
      </w:r>
    </w:p>
    <w:p w:rsidR="00481206" w:rsidRPr="00481206" w:rsidRDefault="00481206" w:rsidP="00481206">
      <w:pPr>
        <w:spacing w:line="360" w:lineRule="auto"/>
        <w:rPr>
          <w:bCs/>
          <w:sz w:val="24"/>
        </w:rPr>
      </w:pPr>
      <w:r w:rsidRPr="00481206">
        <w:rPr>
          <w:rFonts w:hint="eastAsia"/>
          <w:bCs/>
          <w:sz w:val="24"/>
        </w:rPr>
        <w:t>（一）单期间二项式定价模型</w:t>
      </w:r>
    </w:p>
    <w:p w:rsidR="00481206" w:rsidRPr="00481206" w:rsidRDefault="00481206" w:rsidP="00481206">
      <w:pPr>
        <w:spacing w:line="360" w:lineRule="auto"/>
        <w:rPr>
          <w:bCs/>
          <w:sz w:val="24"/>
        </w:rPr>
      </w:pPr>
      <w:r w:rsidRPr="00481206">
        <w:rPr>
          <w:rFonts w:hint="eastAsia"/>
          <w:bCs/>
          <w:sz w:val="24"/>
        </w:rPr>
        <w:t xml:space="preserve">    </w:t>
      </w:r>
      <w:r w:rsidRPr="00481206">
        <w:rPr>
          <w:rFonts w:hint="eastAsia"/>
          <w:bCs/>
          <w:sz w:val="24"/>
        </w:rPr>
        <w:t>如果将连续变动的过程分割为若干个时间段，并加以分段处理，单期间二项式定价模型只存在一个时间段。</w:t>
      </w:r>
    </w:p>
    <w:p w:rsidR="00481206" w:rsidRPr="00481206" w:rsidRDefault="00481206" w:rsidP="00481206">
      <w:pPr>
        <w:spacing w:line="360" w:lineRule="auto"/>
        <w:ind w:firstLineChars="200" w:firstLine="480"/>
        <w:rPr>
          <w:sz w:val="24"/>
        </w:rPr>
      </w:pPr>
      <w:r w:rsidRPr="00481206">
        <w:rPr>
          <w:rFonts w:hint="eastAsia"/>
          <w:sz w:val="24"/>
        </w:rPr>
        <w:t>假设某看涨期权的标的物价格为</w:t>
      </w:r>
      <w:r w:rsidRPr="00481206">
        <w:rPr>
          <w:rFonts w:hint="eastAsia"/>
          <w:sz w:val="24"/>
        </w:rPr>
        <w:t>S</w:t>
      </w:r>
      <w:r w:rsidRPr="00481206">
        <w:rPr>
          <w:rFonts w:hint="eastAsia"/>
          <w:sz w:val="24"/>
        </w:rPr>
        <w:t>，该期权离到期日只有一期。在期权的到期日，标的资产的价格可能上涨到原来的</w:t>
      </w:r>
      <w:r w:rsidRPr="00481206">
        <w:rPr>
          <w:position w:val="-10"/>
          <w:sz w:val="24"/>
        </w:rPr>
        <w:object w:dxaOrig="240" w:dyaOrig="260">
          <v:shape id="_x0000_i1411" type="#_x0000_t75" style="width:12pt;height:12.75pt" o:ole="">
            <v:imagedata r:id="rId709" o:title=""/>
          </v:shape>
          <o:OLEObject Type="Embed" ProgID="Equation.3" ShapeID="_x0000_i1411" DrawAspect="Content" ObjectID="_1550061679" r:id="rId710"/>
        </w:object>
      </w:r>
      <w:r w:rsidRPr="00481206">
        <w:rPr>
          <w:rFonts w:hint="eastAsia"/>
          <w:sz w:val="24"/>
        </w:rPr>
        <w:t>倍，也可能下跌至原来的</w:t>
      </w:r>
      <w:r w:rsidRPr="00481206">
        <w:rPr>
          <w:position w:val="-6"/>
          <w:sz w:val="24"/>
        </w:rPr>
        <w:object w:dxaOrig="220" w:dyaOrig="279">
          <v:shape id="_x0000_i1412" type="#_x0000_t75" style="width:11.25pt;height:14.25pt" o:ole="">
            <v:imagedata r:id="rId711" o:title=""/>
          </v:shape>
          <o:OLEObject Type="Embed" ProgID="Equation.3" ShapeID="_x0000_i1412" DrawAspect="Content" ObjectID="_1550061680" r:id="rId712"/>
        </w:object>
      </w:r>
      <w:r w:rsidRPr="00481206">
        <w:rPr>
          <w:rFonts w:hint="eastAsia"/>
          <w:sz w:val="24"/>
        </w:rPr>
        <w:t>倍。这两种变动的概率分别为</w:t>
      </w:r>
      <w:r w:rsidRPr="00481206">
        <w:rPr>
          <w:rFonts w:hint="eastAsia"/>
          <w:sz w:val="24"/>
        </w:rPr>
        <w:t>P</w:t>
      </w:r>
      <w:r w:rsidRPr="00481206">
        <w:rPr>
          <w:rFonts w:hint="eastAsia"/>
          <w:sz w:val="24"/>
        </w:rPr>
        <w:t>和（</w:t>
      </w:r>
      <w:r w:rsidRPr="00481206">
        <w:rPr>
          <w:rFonts w:hint="eastAsia"/>
          <w:sz w:val="24"/>
        </w:rPr>
        <w:t>1-P</w:t>
      </w:r>
      <w:r w:rsidRPr="00481206">
        <w:rPr>
          <w:rFonts w:hint="eastAsia"/>
          <w:sz w:val="24"/>
        </w:rPr>
        <w:t>）。于是标的物的价格变动可用一种“二叉树”来表示：</w:t>
      </w:r>
    </w:p>
    <w:p w:rsidR="00481206" w:rsidRPr="00481206" w:rsidRDefault="00EF6E22" w:rsidP="00481206">
      <w:pPr>
        <w:spacing w:line="360" w:lineRule="auto"/>
        <w:rPr>
          <w:sz w:val="24"/>
        </w:rPr>
      </w:pPr>
      <w:r>
        <w:rPr>
          <w:sz w:val="24"/>
        </w:rPr>
      </w:r>
      <w:r>
        <w:rPr>
          <w:sz w:val="24"/>
        </w:rPr>
        <w:pict>
          <v:group id="_x0000_s1035" editas="canvas" style="width:414pt;height:156pt;mso-position-horizontal-relative:char;mso-position-vertical-relative:line" coordorigin="2362,505" coordsize="7200,2717">
            <o:lock v:ext="edit" aspectratio="t"/>
            <v:shape id="_x0000_s1036" type="#_x0000_t75" style="position:absolute;left:2362;top:505;width:7200;height:2717" o:preferrelative="f">
              <v:fill o:detectmouseclick="t"/>
              <v:path o:extrusionok="t" o:connecttype="none"/>
              <o:lock v:ext="edit" text="t"/>
            </v:shape>
            <v:line id="_x0000_s1037" style="position:absolute" from="3771,1864" to="7684,2679"/>
            <v:line id="_x0000_s1038" style="position:absolute;flip:y" from="3771,913" to="7684,1864"/>
            <v:rect id="_x0000_s1039" style="position:absolute;left:2988;top:1592;width:626;height:543" stroked="f">
              <v:textbox>
                <w:txbxContent>
                  <w:p w:rsidR="00481206" w:rsidRDefault="00481206" w:rsidP="00481206">
                    <w:r>
                      <w:rPr>
                        <w:rFonts w:hint="eastAsia"/>
                      </w:rPr>
                      <w:t xml:space="preserve">  S</w:t>
                    </w:r>
                  </w:p>
                </w:txbxContent>
              </v:textbox>
            </v:rect>
            <v:rect id="_x0000_s1040" style="position:absolute;left:4397;top:913;width:939;height:407" stroked="f">
              <v:textbox>
                <w:txbxContent>
                  <w:p w:rsidR="00481206" w:rsidRDefault="00481206" w:rsidP="00481206">
                    <w:r>
                      <w:rPr>
                        <w:rFonts w:hint="eastAsia"/>
                      </w:rPr>
                      <w:t xml:space="preserve">  P</w:t>
                    </w:r>
                  </w:p>
                </w:txbxContent>
              </v:textbox>
            </v:rect>
            <v:rect id="_x0000_s1041" style="position:absolute;left:4240;top:2271;width:940;height:407" stroked="f">
              <v:textbox>
                <w:txbxContent>
                  <w:p w:rsidR="00481206" w:rsidRDefault="00481206" w:rsidP="00481206">
                    <w:r>
                      <w:rPr>
                        <w:rFonts w:hint="eastAsia"/>
                      </w:rPr>
                      <w:t xml:space="preserve">    1-P</w:t>
                    </w:r>
                  </w:p>
                </w:txbxContent>
              </v:textbox>
            </v:rect>
            <v:rect id="_x0000_s1042" style="position:absolute;left:7684;top:2543;width:940;height:406" stroked="f">
              <v:textbox>
                <w:txbxContent>
                  <w:p w:rsidR="00481206" w:rsidRDefault="00481206" w:rsidP="00481206">
                    <w:r>
                      <w:rPr>
                        <w:rFonts w:hint="eastAsia"/>
                      </w:rPr>
                      <w:t xml:space="preserve"> dS</w:t>
                    </w:r>
                  </w:p>
                </w:txbxContent>
              </v:textbox>
            </v:rect>
            <v:rect id="_x0000_s1043" style="position:absolute;left:7684;top:641;width:940;height:407" stroked="f">
              <v:textbox>
                <w:txbxContent>
                  <w:p w:rsidR="00481206" w:rsidRDefault="00481206" w:rsidP="00481206">
                    <w:r>
                      <w:rPr>
                        <w:rFonts w:hint="eastAsia"/>
                      </w:rPr>
                      <w:t xml:space="preserve"> uS</w:t>
                    </w:r>
                  </w:p>
                </w:txbxContent>
              </v:textbox>
            </v:rect>
            <w10:wrap type="none"/>
            <w10:anchorlock/>
          </v:group>
        </w:pict>
      </w:r>
    </w:p>
    <w:p w:rsidR="00481206" w:rsidRPr="00481206" w:rsidRDefault="00481206" w:rsidP="00481206">
      <w:pPr>
        <w:spacing w:line="360" w:lineRule="auto"/>
        <w:ind w:firstLine="480"/>
        <w:rPr>
          <w:sz w:val="24"/>
        </w:rPr>
      </w:pPr>
      <w:r w:rsidRPr="00481206">
        <w:rPr>
          <w:rFonts w:hint="eastAsia"/>
          <w:sz w:val="24"/>
        </w:rPr>
        <w:t>假定在单期间模型中，如果当前的看涨期权价格为</w:t>
      </w:r>
      <w:r w:rsidRPr="00481206">
        <w:rPr>
          <w:position w:val="-6"/>
          <w:sz w:val="24"/>
        </w:rPr>
        <w:object w:dxaOrig="240" w:dyaOrig="279">
          <v:shape id="_x0000_i1413" type="#_x0000_t75" style="width:12pt;height:14.25pt" o:ole="">
            <v:imagedata r:id="rId713" o:title=""/>
          </v:shape>
          <o:OLEObject Type="Embed" ProgID="Equation.3" ShapeID="_x0000_i1413" DrawAspect="Content" ObjectID="_1550061681" r:id="rId714"/>
        </w:object>
      </w:r>
      <w:r w:rsidRPr="00481206">
        <w:rPr>
          <w:rFonts w:hint="eastAsia"/>
          <w:sz w:val="24"/>
        </w:rPr>
        <w:t>，协定价格为</w:t>
      </w:r>
      <w:r w:rsidRPr="00481206">
        <w:rPr>
          <w:position w:val="-4"/>
          <w:sz w:val="24"/>
        </w:rPr>
        <w:object w:dxaOrig="279" w:dyaOrig="260">
          <v:shape id="_x0000_i1414" type="#_x0000_t75" style="width:14.25pt;height:12.75pt" o:ole="">
            <v:imagedata r:id="rId715" o:title=""/>
          </v:shape>
          <o:OLEObject Type="Embed" ProgID="Equation.3" ShapeID="_x0000_i1414" DrawAspect="Content" ObjectID="_1550061682" r:id="rId716"/>
        </w:object>
      </w:r>
      <w:r w:rsidRPr="00481206">
        <w:rPr>
          <w:rFonts w:hint="eastAsia"/>
          <w:sz w:val="24"/>
        </w:rPr>
        <w:t>，标的资产上涨后和下跌后的看涨期权的价格分别为</w:t>
      </w:r>
      <w:r w:rsidRPr="00481206">
        <w:rPr>
          <w:position w:val="-12"/>
          <w:sz w:val="24"/>
        </w:rPr>
        <w:object w:dxaOrig="320" w:dyaOrig="360">
          <v:shape id="_x0000_i1415" type="#_x0000_t75" style="width:15.75pt;height:18pt" o:ole="">
            <v:imagedata r:id="rId717" o:title=""/>
          </v:shape>
          <o:OLEObject Type="Embed" ProgID="Equation.3" ShapeID="_x0000_i1415" DrawAspect="Content" ObjectID="_1550061683" r:id="rId718"/>
        </w:object>
      </w:r>
      <w:r w:rsidRPr="00481206">
        <w:rPr>
          <w:rFonts w:hint="eastAsia"/>
          <w:sz w:val="24"/>
        </w:rPr>
        <w:t>和</w:t>
      </w:r>
      <w:r w:rsidRPr="00481206">
        <w:rPr>
          <w:position w:val="-12"/>
          <w:sz w:val="24"/>
        </w:rPr>
        <w:object w:dxaOrig="320" w:dyaOrig="360">
          <v:shape id="_x0000_i1416" type="#_x0000_t75" style="width:15.75pt;height:18pt" o:ole="">
            <v:imagedata r:id="rId719" o:title=""/>
          </v:shape>
          <o:OLEObject Type="Embed" ProgID="Equation.3" ShapeID="_x0000_i1416" DrawAspect="Content" ObjectID="_1550061684" r:id="rId720"/>
        </w:object>
      </w:r>
      <w:r w:rsidRPr="00481206">
        <w:rPr>
          <w:rFonts w:hint="eastAsia"/>
          <w:sz w:val="24"/>
        </w:rPr>
        <w:t>，则：</w:t>
      </w:r>
    </w:p>
    <w:p w:rsidR="00481206" w:rsidRPr="00481206" w:rsidRDefault="00481206" w:rsidP="00481206">
      <w:pPr>
        <w:spacing w:line="360" w:lineRule="auto"/>
        <w:ind w:firstLine="480"/>
        <w:rPr>
          <w:sz w:val="24"/>
        </w:rPr>
      </w:pPr>
      <w:r w:rsidRPr="00481206">
        <w:rPr>
          <w:position w:val="-12"/>
          <w:sz w:val="24"/>
        </w:rPr>
        <w:object w:dxaOrig="2040" w:dyaOrig="360">
          <v:shape id="_x0000_i1417" type="#_x0000_t75" style="width:102pt;height:18pt" o:ole="">
            <v:imagedata r:id="rId721" o:title=""/>
          </v:shape>
          <o:OLEObject Type="Embed" ProgID="Equation.3" ShapeID="_x0000_i1417" DrawAspect="Content" ObjectID="_1550061685" r:id="rId722"/>
        </w:object>
      </w:r>
    </w:p>
    <w:p w:rsidR="00481206" w:rsidRPr="00481206" w:rsidRDefault="00481206" w:rsidP="00481206">
      <w:pPr>
        <w:spacing w:line="360" w:lineRule="auto"/>
        <w:ind w:firstLine="480"/>
        <w:rPr>
          <w:sz w:val="24"/>
        </w:rPr>
      </w:pPr>
      <w:r w:rsidRPr="00481206">
        <w:rPr>
          <w:position w:val="-12"/>
          <w:sz w:val="24"/>
        </w:rPr>
        <w:object w:dxaOrig="2060" w:dyaOrig="360">
          <v:shape id="_x0000_i1418" type="#_x0000_t75" style="width:102.75pt;height:18pt" o:ole="">
            <v:imagedata r:id="rId723" o:title=""/>
          </v:shape>
          <o:OLEObject Type="Embed" ProgID="Equation.3" ShapeID="_x0000_i1418" DrawAspect="Content" ObjectID="_1550061686" r:id="rId724"/>
        </w:object>
      </w:r>
    </w:p>
    <w:p w:rsidR="00481206" w:rsidRPr="00481206" w:rsidRDefault="00481206" w:rsidP="00481206">
      <w:pPr>
        <w:spacing w:line="360" w:lineRule="auto"/>
        <w:ind w:firstLine="480"/>
        <w:rPr>
          <w:sz w:val="24"/>
        </w:rPr>
      </w:pPr>
      <w:r w:rsidRPr="00481206">
        <w:rPr>
          <w:rFonts w:hint="eastAsia"/>
          <w:sz w:val="24"/>
        </w:rPr>
        <w:t>则看涨期权价格的变动也可以用二叉树来表示，即：</w:t>
      </w:r>
    </w:p>
    <w:p w:rsidR="00481206" w:rsidRPr="00481206" w:rsidRDefault="00EF6E22" w:rsidP="00481206">
      <w:pPr>
        <w:spacing w:line="360" w:lineRule="auto"/>
        <w:rPr>
          <w:sz w:val="24"/>
        </w:rPr>
      </w:pPr>
      <w:r>
        <w:rPr>
          <w:sz w:val="24"/>
        </w:rPr>
      </w:r>
      <w:r>
        <w:rPr>
          <w:sz w:val="24"/>
        </w:rPr>
        <w:pict>
          <v:group id="_x0000_s1026" editas="canvas" style="width:414pt;height:156pt;mso-position-horizontal-relative:char;mso-position-vertical-relative:line" coordorigin="2362,505" coordsize="7200,2717">
            <o:lock v:ext="edit" aspectratio="t"/>
            <v:shape id="_x0000_s1027" type="#_x0000_t75" style="position:absolute;left:2362;top:505;width:7200;height:2717" o:preferrelative="f">
              <v:fill o:detectmouseclick="t"/>
              <v:path o:extrusionok="t" o:connecttype="none"/>
              <o:lock v:ext="edit" text="t"/>
            </v:shape>
            <v:line id="_x0000_s1028" style="position:absolute" from="3771,1864" to="7684,2679"/>
            <v:line id="_x0000_s1029" style="position:absolute;flip:y" from="3771,913" to="7684,1864"/>
            <v:rect id="_x0000_s1030" style="position:absolute;left:2988;top:1592;width:626;height:543" stroked="f">
              <v:textbox>
                <w:txbxContent>
                  <w:p w:rsidR="00481206" w:rsidRDefault="00481206" w:rsidP="00481206">
                    <w:r>
                      <w:rPr>
                        <w:rFonts w:hint="eastAsia"/>
                      </w:rPr>
                      <w:t xml:space="preserve">  C</w:t>
                    </w:r>
                  </w:p>
                </w:txbxContent>
              </v:textbox>
            </v:rect>
            <v:rect id="_x0000_s1031" style="position:absolute;left:4397;top:913;width:939;height:407" stroked="f">
              <v:textbox>
                <w:txbxContent>
                  <w:p w:rsidR="00481206" w:rsidRDefault="00481206" w:rsidP="00481206">
                    <w:r>
                      <w:rPr>
                        <w:rFonts w:hint="eastAsia"/>
                      </w:rPr>
                      <w:t xml:space="preserve">  P</w:t>
                    </w:r>
                  </w:p>
                </w:txbxContent>
              </v:textbox>
            </v:rect>
            <v:rect id="_x0000_s1032" style="position:absolute;left:4240;top:2271;width:940;height:407" stroked="f">
              <v:textbox>
                <w:txbxContent>
                  <w:p w:rsidR="00481206" w:rsidRDefault="00481206" w:rsidP="00481206">
                    <w:r>
                      <w:rPr>
                        <w:rFonts w:hint="eastAsia"/>
                      </w:rPr>
                      <w:t xml:space="preserve">    1-P</w:t>
                    </w:r>
                  </w:p>
                </w:txbxContent>
              </v:textbox>
            </v:rect>
            <v:rect id="_x0000_s1033" style="position:absolute;left:7684;top:2543;width:940;height:406" stroked="f">
              <v:textbox>
                <w:txbxContent>
                  <w:p w:rsidR="00481206" w:rsidRDefault="00481206" w:rsidP="00481206">
                    <w:r>
                      <w:rPr>
                        <w:rFonts w:hint="eastAsia"/>
                      </w:rPr>
                      <w:t xml:space="preserve"> Cd</w:t>
                    </w:r>
                  </w:p>
                </w:txbxContent>
              </v:textbox>
            </v:rect>
            <v:rect id="_x0000_s1034" style="position:absolute;left:7684;top:641;width:940;height:407" stroked="f">
              <v:textbox>
                <w:txbxContent>
                  <w:p w:rsidR="00481206" w:rsidRDefault="00481206" w:rsidP="00481206">
                    <w:r>
                      <w:rPr>
                        <w:rFonts w:hint="eastAsia"/>
                      </w:rPr>
                      <w:t xml:space="preserve"> Cu</w:t>
                    </w:r>
                  </w:p>
                </w:txbxContent>
              </v:textbox>
            </v:rect>
            <w10:wrap type="none"/>
            <w10:anchorlock/>
          </v:group>
        </w:pict>
      </w:r>
    </w:p>
    <w:p w:rsidR="00481206" w:rsidRPr="00481206" w:rsidRDefault="00481206" w:rsidP="00481206">
      <w:pPr>
        <w:spacing w:line="360" w:lineRule="auto"/>
        <w:rPr>
          <w:sz w:val="24"/>
        </w:rPr>
      </w:pPr>
      <w:r w:rsidRPr="00481206">
        <w:rPr>
          <w:rFonts w:hint="eastAsia"/>
          <w:sz w:val="24"/>
        </w:rPr>
        <w:t xml:space="preserve">    </w:t>
      </w:r>
      <w:r w:rsidRPr="00481206">
        <w:rPr>
          <w:rFonts w:hint="eastAsia"/>
          <w:sz w:val="24"/>
        </w:rPr>
        <w:t>在此模型中，假定看涨期权的价格</w:t>
      </w:r>
      <w:r w:rsidRPr="00481206">
        <w:rPr>
          <w:rFonts w:hint="eastAsia"/>
          <w:sz w:val="24"/>
        </w:rPr>
        <w:t>C</w:t>
      </w:r>
      <w:r w:rsidRPr="00481206">
        <w:rPr>
          <w:rFonts w:hint="eastAsia"/>
          <w:sz w:val="24"/>
        </w:rPr>
        <w:t>为未知数，其他的都是已知的，我们只需求出</w:t>
      </w:r>
      <w:r w:rsidRPr="00481206">
        <w:rPr>
          <w:rFonts w:hint="eastAsia"/>
          <w:sz w:val="24"/>
        </w:rPr>
        <w:t>C</w:t>
      </w:r>
      <w:r w:rsidRPr="00481206">
        <w:rPr>
          <w:rFonts w:hint="eastAsia"/>
          <w:sz w:val="24"/>
        </w:rPr>
        <w:t>。</w:t>
      </w:r>
    </w:p>
    <w:p w:rsidR="00481206" w:rsidRPr="00481206" w:rsidRDefault="00481206" w:rsidP="00481206">
      <w:pPr>
        <w:spacing w:line="360" w:lineRule="auto"/>
        <w:ind w:firstLine="480"/>
        <w:rPr>
          <w:sz w:val="24"/>
        </w:rPr>
      </w:pPr>
      <w:r w:rsidRPr="00481206">
        <w:rPr>
          <w:rFonts w:hint="eastAsia"/>
          <w:sz w:val="24"/>
        </w:rPr>
        <w:t>假定投资者买进</w:t>
      </w:r>
      <w:r w:rsidRPr="00481206">
        <w:rPr>
          <w:rFonts w:hint="eastAsia"/>
          <w:sz w:val="24"/>
        </w:rPr>
        <w:t>h</w:t>
      </w:r>
      <w:r w:rsidRPr="00481206">
        <w:rPr>
          <w:rFonts w:hint="eastAsia"/>
          <w:sz w:val="24"/>
        </w:rPr>
        <w:t>单位的标的资产，并卖出看涨期权进行套期保值，其中</w:t>
      </w:r>
      <w:r w:rsidRPr="00481206">
        <w:rPr>
          <w:rFonts w:hint="eastAsia"/>
          <w:sz w:val="24"/>
        </w:rPr>
        <w:t>h</w:t>
      </w:r>
      <w:r w:rsidRPr="00481206">
        <w:rPr>
          <w:rFonts w:hint="eastAsia"/>
          <w:sz w:val="24"/>
        </w:rPr>
        <w:t>为套期保值比率，并假定投资者实现完全套期保值，即最后的价值和为零。则如资产价格上涨时，套期保值的损益可表示为：</w:t>
      </w:r>
    </w:p>
    <w:p w:rsidR="00481206" w:rsidRPr="00481206" w:rsidRDefault="00481206" w:rsidP="00481206">
      <w:pPr>
        <w:spacing w:line="360" w:lineRule="auto"/>
        <w:ind w:firstLine="480"/>
        <w:rPr>
          <w:sz w:val="24"/>
        </w:rPr>
      </w:pPr>
      <w:r w:rsidRPr="00481206">
        <w:rPr>
          <w:position w:val="-12"/>
          <w:sz w:val="24"/>
        </w:rPr>
        <w:object w:dxaOrig="3040" w:dyaOrig="360">
          <v:shape id="_x0000_i1419" type="#_x0000_t75" style="width:152.25pt;height:18pt" o:ole="">
            <v:imagedata r:id="rId725" o:title=""/>
          </v:shape>
          <o:OLEObject Type="Embed" ProgID="Equation.3" ShapeID="_x0000_i1419" DrawAspect="Content" ObjectID="_1550061687" r:id="rId726"/>
        </w:object>
      </w:r>
    </w:p>
    <w:p w:rsidR="00481206" w:rsidRPr="00481206" w:rsidRDefault="00481206" w:rsidP="00481206">
      <w:pPr>
        <w:spacing w:line="360" w:lineRule="auto"/>
        <w:ind w:firstLine="480"/>
        <w:rPr>
          <w:sz w:val="24"/>
        </w:rPr>
      </w:pPr>
      <w:r w:rsidRPr="00481206">
        <w:rPr>
          <w:rFonts w:hint="eastAsia"/>
          <w:sz w:val="24"/>
        </w:rPr>
        <w:t>如果资产的价格下跌时，套期保值的损益可表示为：</w:t>
      </w:r>
    </w:p>
    <w:p w:rsidR="00481206" w:rsidRPr="00481206" w:rsidRDefault="00481206" w:rsidP="00481206">
      <w:pPr>
        <w:spacing w:line="360" w:lineRule="auto"/>
        <w:ind w:firstLine="480"/>
        <w:rPr>
          <w:sz w:val="24"/>
        </w:rPr>
      </w:pPr>
      <w:r w:rsidRPr="00481206">
        <w:rPr>
          <w:position w:val="-12"/>
          <w:sz w:val="24"/>
        </w:rPr>
        <w:object w:dxaOrig="3080" w:dyaOrig="360">
          <v:shape id="_x0000_i1420" type="#_x0000_t75" style="width:153.75pt;height:18pt" o:ole="">
            <v:imagedata r:id="rId727" o:title=""/>
          </v:shape>
          <o:OLEObject Type="Embed" ProgID="Equation.3" ShapeID="_x0000_i1420" DrawAspect="Content" ObjectID="_1550061688" r:id="rId728"/>
        </w:object>
      </w:r>
    </w:p>
    <w:p w:rsidR="00481206" w:rsidRPr="00481206" w:rsidRDefault="00481206" w:rsidP="00481206">
      <w:pPr>
        <w:spacing w:line="360" w:lineRule="auto"/>
        <w:ind w:firstLine="480"/>
        <w:rPr>
          <w:sz w:val="24"/>
        </w:rPr>
      </w:pPr>
      <w:r w:rsidRPr="00481206">
        <w:rPr>
          <w:rFonts w:hint="eastAsia"/>
          <w:sz w:val="24"/>
        </w:rPr>
        <w:lastRenderedPageBreak/>
        <w:t>令上面两式相等，可求得：</w:t>
      </w:r>
    </w:p>
    <w:p w:rsidR="00481206" w:rsidRPr="00481206" w:rsidRDefault="00481206" w:rsidP="00481206">
      <w:pPr>
        <w:spacing w:line="360" w:lineRule="auto"/>
        <w:ind w:firstLine="480"/>
        <w:rPr>
          <w:sz w:val="24"/>
        </w:rPr>
      </w:pPr>
      <w:r w:rsidRPr="00481206">
        <w:rPr>
          <w:position w:val="-28"/>
          <w:sz w:val="24"/>
        </w:rPr>
        <w:object w:dxaOrig="1300" w:dyaOrig="680">
          <v:shape id="_x0000_i1421" type="#_x0000_t75" style="width:65.25pt;height:33.75pt" o:ole="">
            <v:imagedata r:id="rId729" o:title=""/>
          </v:shape>
          <o:OLEObject Type="Embed" ProgID="Equation.3" ShapeID="_x0000_i1421" DrawAspect="Content" ObjectID="_1550061689" r:id="rId730"/>
        </w:object>
      </w:r>
    </w:p>
    <w:p w:rsidR="00481206" w:rsidRPr="00481206" w:rsidRDefault="00481206" w:rsidP="00481206">
      <w:pPr>
        <w:spacing w:line="360" w:lineRule="auto"/>
        <w:ind w:firstLine="480"/>
        <w:rPr>
          <w:sz w:val="24"/>
        </w:rPr>
      </w:pPr>
      <w:r w:rsidRPr="00481206">
        <w:rPr>
          <w:rFonts w:hint="eastAsia"/>
          <w:sz w:val="24"/>
        </w:rPr>
        <w:t>将</w:t>
      </w:r>
      <w:r w:rsidRPr="00481206">
        <w:rPr>
          <w:rFonts w:hint="eastAsia"/>
          <w:sz w:val="24"/>
        </w:rPr>
        <w:t>h</w:t>
      </w:r>
      <w:r w:rsidRPr="00481206">
        <w:rPr>
          <w:rFonts w:hint="eastAsia"/>
          <w:sz w:val="24"/>
        </w:rPr>
        <w:t>代入任何一个式子，可求得：</w:t>
      </w:r>
    </w:p>
    <w:p w:rsidR="00481206" w:rsidRPr="00481206" w:rsidRDefault="00481206" w:rsidP="00481206">
      <w:pPr>
        <w:spacing w:line="360" w:lineRule="auto"/>
        <w:ind w:firstLine="480"/>
        <w:rPr>
          <w:sz w:val="24"/>
        </w:rPr>
      </w:pPr>
      <w:r w:rsidRPr="00481206">
        <w:rPr>
          <w:position w:val="-24"/>
          <w:sz w:val="24"/>
        </w:rPr>
        <w:object w:dxaOrig="2620" w:dyaOrig="920">
          <v:shape id="_x0000_i1422" type="#_x0000_t75" style="width:131.25pt;height:45.75pt" o:ole="">
            <v:imagedata r:id="rId731" o:title=""/>
          </v:shape>
          <o:OLEObject Type="Embed" ProgID="Equation.3" ShapeID="_x0000_i1422" DrawAspect="Content" ObjectID="_1550061690" r:id="rId732"/>
        </w:object>
      </w:r>
    </w:p>
    <w:p w:rsidR="00481206" w:rsidRPr="00481206" w:rsidRDefault="00481206" w:rsidP="00481206">
      <w:pPr>
        <w:spacing w:line="360" w:lineRule="auto"/>
        <w:ind w:firstLine="480"/>
        <w:rPr>
          <w:sz w:val="24"/>
        </w:rPr>
      </w:pPr>
      <w:r w:rsidRPr="00481206">
        <w:rPr>
          <w:rFonts w:hint="eastAsia"/>
          <w:sz w:val="24"/>
        </w:rPr>
        <w:t>我们令</w:t>
      </w:r>
      <w:r w:rsidRPr="00481206">
        <w:rPr>
          <w:position w:val="-24"/>
          <w:sz w:val="24"/>
        </w:rPr>
        <w:object w:dxaOrig="1020" w:dyaOrig="620">
          <v:shape id="_x0000_i1423" type="#_x0000_t75" style="width:51pt;height:30.75pt" o:ole="">
            <v:imagedata r:id="rId733" o:title=""/>
          </v:shape>
          <o:OLEObject Type="Embed" ProgID="Equation.3" ShapeID="_x0000_i1423" DrawAspect="Content" ObjectID="_1550061691" r:id="rId734"/>
        </w:object>
      </w:r>
      <w:r w:rsidRPr="00481206">
        <w:rPr>
          <w:rFonts w:hint="eastAsia"/>
          <w:sz w:val="24"/>
        </w:rPr>
        <w:t>，</w:t>
      </w:r>
      <w:r w:rsidRPr="00481206">
        <w:rPr>
          <w:position w:val="-24"/>
          <w:sz w:val="24"/>
        </w:rPr>
        <w:object w:dxaOrig="1320" w:dyaOrig="620">
          <v:shape id="_x0000_i1424" type="#_x0000_t75" style="width:66pt;height:30.75pt" o:ole="">
            <v:imagedata r:id="rId735" o:title=""/>
          </v:shape>
          <o:OLEObject Type="Embed" ProgID="Equation.3" ShapeID="_x0000_i1424" DrawAspect="Content" ObjectID="_1550061692" r:id="rId736"/>
        </w:object>
      </w:r>
    </w:p>
    <w:p w:rsidR="00481206" w:rsidRPr="00481206" w:rsidRDefault="00481206" w:rsidP="00481206">
      <w:pPr>
        <w:spacing w:line="360" w:lineRule="auto"/>
        <w:ind w:firstLine="480"/>
        <w:rPr>
          <w:sz w:val="24"/>
        </w:rPr>
      </w:pPr>
      <w:r w:rsidRPr="00481206">
        <w:rPr>
          <w:rFonts w:hint="eastAsia"/>
          <w:sz w:val="24"/>
        </w:rPr>
        <w:t>因此期权的定价公式可表示为：</w:t>
      </w:r>
    </w:p>
    <w:p w:rsidR="00481206" w:rsidRPr="00481206" w:rsidRDefault="00481206" w:rsidP="00481206">
      <w:pPr>
        <w:spacing w:line="360" w:lineRule="auto"/>
        <w:ind w:firstLine="480"/>
        <w:rPr>
          <w:sz w:val="24"/>
        </w:rPr>
      </w:pPr>
      <w:r w:rsidRPr="00481206">
        <w:rPr>
          <w:position w:val="-28"/>
          <w:sz w:val="24"/>
        </w:rPr>
        <w:object w:dxaOrig="2500" w:dyaOrig="680">
          <v:shape id="_x0000_i1425" type="#_x0000_t75" style="width:125.25pt;height:33.75pt" o:ole="">
            <v:imagedata r:id="rId737" o:title=""/>
          </v:shape>
          <o:OLEObject Type="Embed" ProgID="Equation.3" ShapeID="_x0000_i1425" DrawAspect="Content" ObjectID="_1550061693" r:id="rId738"/>
        </w:object>
      </w:r>
    </w:p>
    <w:p w:rsidR="00481206" w:rsidRPr="00481206" w:rsidRDefault="00481206" w:rsidP="00481206">
      <w:pPr>
        <w:spacing w:line="360" w:lineRule="auto"/>
        <w:ind w:firstLine="480"/>
        <w:rPr>
          <w:sz w:val="24"/>
        </w:rPr>
      </w:pPr>
      <w:r w:rsidRPr="00481206">
        <w:rPr>
          <w:rFonts w:hint="eastAsia"/>
          <w:sz w:val="24"/>
        </w:rPr>
        <w:t>可见，目前看涨期权的价值，是期权到期日之看涨期权价值的加权平均数的现值。如果考虑连续复利的情况，则：</w:t>
      </w:r>
    </w:p>
    <w:p w:rsidR="00481206" w:rsidRPr="00481206" w:rsidRDefault="00481206" w:rsidP="00481206">
      <w:pPr>
        <w:spacing w:line="360" w:lineRule="auto"/>
        <w:ind w:firstLine="480"/>
        <w:rPr>
          <w:sz w:val="24"/>
        </w:rPr>
      </w:pPr>
      <w:r w:rsidRPr="00481206">
        <w:rPr>
          <w:position w:val="-12"/>
          <w:sz w:val="24"/>
        </w:rPr>
        <w:object w:dxaOrig="3260" w:dyaOrig="380">
          <v:shape id="_x0000_i1426" type="#_x0000_t75" style="width:162.75pt;height:18.75pt" o:ole="">
            <v:imagedata r:id="rId739" o:title=""/>
          </v:shape>
          <o:OLEObject Type="Embed" ProgID="Equation.3" ShapeID="_x0000_i1426" DrawAspect="Content" ObjectID="_1550061694" r:id="rId740"/>
        </w:object>
      </w:r>
    </w:p>
    <w:p w:rsidR="00481206" w:rsidRPr="00481206" w:rsidRDefault="00481206" w:rsidP="00481206">
      <w:pPr>
        <w:spacing w:line="360" w:lineRule="auto"/>
        <w:ind w:firstLine="480"/>
        <w:rPr>
          <w:bCs/>
          <w:sz w:val="24"/>
        </w:rPr>
      </w:pPr>
      <w:r w:rsidRPr="00481206">
        <w:rPr>
          <w:rFonts w:hint="eastAsia"/>
          <w:bCs/>
          <w:sz w:val="24"/>
        </w:rPr>
        <w:t>（二）多期间二项式定价模型的讨论</w:t>
      </w:r>
    </w:p>
    <w:p w:rsidR="00481206" w:rsidRPr="00481206" w:rsidRDefault="00481206" w:rsidP="00481206">
      <w:pPr>
        <w:spacing w:line="360" w:lineRule="auto"/>
        <w:ind w:firstLine="480"/>
        <w:rPr>
          <w:bCs/>
          <w:sz w:val="24"/>
        </w:rPr>
      </w:pPr>
      <w:r w:rsidRPr="00481206">
        <w:rPr>
          <w:rFonts w:hint="eastAsia"/>
          <w:bCs/>
          <w:sz w:val="24"/>
        </w:rPr>
        <w:t>我们下面将单期间扩展为多期间，即将期间增加为两个或两个以上，从而使“单期间”模型变为“多期间”模型。这种变化趋势由下图所示：</w:t>
      </w:r>
    </w:p>
    <w:p w:rsidR="00481206" w:rsidRPr="00481206" w:rsidRDefault="00481206" w:rsidP="00481206">
      <w:pPr>
        <w:spacing w:line="360" w:lineRule="auto"/>
        <w:ind w:firstLine="480"/>
        <w:rPr>
          <w:bCs/>
          <w:sz w:val="24"/>
        </w:rPr>
      </w:pPr>
      <w:r w:rsidRPr="00481206">
        <w:rPr>
          <w:rFonts w:hint="eastAsia"/>
          <w:bCs/>
          <w:sz w:val="24"/>
        </w:rPr>
        <w:t>我们把期间扩大为</w:t>
      </w:r>
      <w:r w:rsidRPr="00481206">
        <w:rPr>
          <w:rFonts w:hint="eastAsia"/>
          <w:bCs/>
          <w:sz w:val="24"/>
        </w:rPr>
        <w:t>n</w:t>
      </w:r>
      <w:r w:rsidRPr="00481206">
        <w:rPr>
          <w:rFonts w:hint="eastAsia"/>
          <w:bCs/>
          <w:sz w:val="24"/>
        </w:rPr>
        <w:t>，并设</w:t>
      </w:r>
      <w:r w:rsidRPr="00481206">
        <w:rPr>
          <w:rFonts w:hint="eastAsia"/>
          <w:bCs/>
          <w:sz w:val="24"/>
        </w:rPr>
        <w:t>k</w:t>
      </w:r>
      <w:r w:rsidRPr="00481206">
        <w:rPr>
          <w:rFonts w:hint="eastAsia"/>
          <w:bCs/>
          <w:sz w:val="24"/>
        </w:rPr>
        <w:t>为标的资产价格上涨的次数，而</w:t>
      </w:r>
      <w:r w:rsidRPr="00481206">
        <w:rPr>
          <w:rFonts w:hint="eastAsia"/>
          <w:bCs/>
          <w:sz w:val="24"/>
        </w:rPr>
        <w:t>n-k</w:t>
      </w:r>
      <w:r w:rsidRPr="00481206">
        <w:rPr>
          <w:rFonts w:hint="eastAsia"/>
          <w:bCs/>
          <w:sz w:val="24"/>
        </w:rPr>
        <w:t>为标的资产价格下跌的次数，则：</w:t>
      </w:r>
    </w:p>
    <w:p w:rsidR="00481206" w:rsidRPr="00481206" w:rsidRDefault="00481206" w:rsidP="00481206">
      <w:pPr>
        <w:spacing w:line="360" w:lineRule="auto"/>
        <w:ind w:firstLine="480"/>
        <w:rPr>
          <w:bCs/>
          <w:sz w:val="24"/>
        </w:rPr>
      </w:pPr>
      <w:r w:rsidRPr="00481206">
        <w:rPr>
          <w:rFonts w:hint="eastAsia"/>
          <w:bCs/>
          <w:sz w:val="24"/>
        </w:rPr>
        <w:t xml:space="preserve"> </w:t>
      </w:r>
      <w:r w:rsidRPr="00481206">
        <w:rPr>
          <w:bCs/>
          <w:position w:val="-30"/>
          <w:sz w:val="24"/>
        </w:rPr>
        <w:object w:dxaOrig="5740" w:dyaOrig="700">
          <v:shape id="_x0000_i1427" type="#_x0000_t75" style="width:287.25pt;height:35.25pt" o:ole="">
            <v:imagedata r:id="rId741" o:title=""/>
          </v:shape>
          <o:OLEObject Type="Embed" ProgID="Equation.3" ShapeID="_x0000_i1427" DrawAspect="Content" ObjectID="_1550061695" r:id="rId742"/>
        </w:object>
      </w:r>
    </w:p>
    <w:p w:rsidR="00481206" w:rsidRPr="00481206" w:rsidRDefault="00481206" w:rsidP="00481206">
      <w:pPr>
        <w:spacing w:line="360" w:lineRule="auto"/>
        <w:ind w:firstLine="480"/>
        <w:rPr>
          <w:bCs/>
          <w:sz w:val="24"/>
        </w:rPr>
      </w:pPr>
      <w:r w:rsidRPr="00481206">
        <w:rPr>
          <w:rFonts w:hint="eastAsia"/>
          <w:bCs/>
          <w:sz w:val="24"/>
        </w:rPr>
        <w:t>根据中心极限定理，当</w:t>
      </w:r>
      <w:r w:rsidRPr="00481206">
        <w:rPr>
          <w:rFonts w:hint="eastAsia"/>
          <w:bCs/>
          <w:sz w:val="24"/>
        </w:rPr>
        <w:t>n</w:t>
      </w:r>
      <w:r w:rsidRPr="00481206">
        <w:rPr>
          <w:rFonts w:hint="eastAsia"/>
          <w:bCs/>
          <w:sz w:val="24"/>
        </w:rPr>
        <w:t>趋近于无穷大时，二项式分布将接近于正态分布。于是该模型的结果将接近于</w:t>
      </w:r>
      <w:r w:rsidRPr="00481206">
        <w:rPr>
          <w:rFonts w:hint="eastAsia"/>
          <w:bCs/>
          <w:sz w:val="24"/>
        </w:rPr>
        <w:t>Black-Scholes</w:t>
      </w:r>
      <w:r w:rsidRPr="00481206">
        <w:rPr>
          <w:rFonts w:hint="eastAsia"/>
          <w:bCs/>
          <w:sz w:val="24"/>
        </w:rPr>
        <w:t>模型的结果。</w:t>
      </w:r>
    </w:p>
    <w:p w:rsidR="00481206" w:rsidRPr="00481206" w:rsidRDefault="00EF6E22" w:rsidP="00481206">
      <w:pPr>
        <w:spacing w:line="360" w:lineRule="auto"/>
        <w:rPr>
          <w:sz w:val="24"/>
        </w:rPr>
      </w:pPr>
      <w:r>
        <w:rPr>
          <w:sz w:val="24"/>
        </w:rPr>
      </w:r>
      <w:r>
        <w:rPr>
          <w:sz w:val="24"/>
        </w:rPr>
        <w:pict>
          <v:group id="_x0000_s1044" editas="canvas" style="width:414pt;height:327.6pt;mso-position-horizontal-relative:char;mso-position-vertical-relative:line" coordorigin="2362,10495" coordsize="7200,5707">
            <o:lock v:ext="edit" aspectratio="t"/>
            <v:shape id="_x0000_s1045" type="#_x0000_t75" style="position:absolute;left:2362;top:10495;width:7200;height:5707" o:preferrelative="f">
              <v:fill o:detectmouseclick="t"/>
              <v:path o:extrusionok="t" o:connecttype="none"/>
              <o:lock v:ext="edit" text="t"/>
            </v:shape>
            <v:line id="_x0000_s1046" style="position:absolute;flip:y" from="3301,10767" to="7684,13620"/>
            <v:line id="_x0000_s1047" style="position:absolute" from="3301,13620" to="7840,15930"/>
            <v:line id="_x0000_s1048" style="position:absolute;flip:y" from="4397,11718" to="7840,14164"/>
            <v:line id="_x0000_s1049" style="position:absolute;flip:y" from="5649,13077" to="7840,14843"/>
            <v:line id="_x0000_s1050" style="position:absolute;flip:y" from="6588,14300" to="7997,15387"/>
            <v:line id="_x0000_s1051" style="position:absolute" from="4866,12669" to="7997,14300"/>
            <v:line id="_x0000_s1052" style="position:absolute;flip:x y" from="5805,11990" to="7839,13077"/>
            <v:line id="_x0000_s1053" style="position:absolute;flip:x y" from="6901,11310" to="7840,11718"/>
            <v:rect id="_x0000_s1054" style="position:absolute;left:2519;top:13213;width:626;height:679" stroked="f">
              <v:textbox>
                <w:txbxContent>
                  <w:p w:rsidR="00481206" w:rsidRDefault="00481206" w:rsidP="00481206"/>
                  <w:p w:rsidR="00481206" w:rsidRDefault="00481206" w:rsidP="00481206">
                    <w:r>
                      <w:rPr>
                        <w:rFonts w:hint="eastAsia"/>
                      </w:rPr>
                      <w:t xml:space="preserve">  S</w:t>
                    </w:r>
                  </w:p>
                  <w:p w:rsidR="00481206" w:rsidRDefault="00481206" w:rsidP="00481206">
                    <w:r>
                      <w:rPr>
                        <w:rFonts w:hint="eastAsia"/>
                      </w:rPr>
                      <w:t xml:space="preserve">   SS</w:t>
                    </w:r>
                  </w:p>
                </w:txbxContent>
              </v:textbox>
            </v:rect>
            <v:rect id="_x0000_s1055" style="position:absolute;left:4084;top:12126;width:626;height:407" stroked="f">
              <v:textbox>
                <w:txbxContent>
                  <w:p w:rsidR="00481206" w:rsidRDefault="00481206" w:rsidP="00481206">
                    <w:r>
                      <w:rPr>
                        <w:rFonts w:hint="eastAsia"/>
                      </w:rPr>
                      <w:t xml:space="preserve"> Su</w:t>
                    </w:r>
                  </w:p>
                </w:txbxContent>
              </v:textbox>
            </v:rect>
            <v:rect id="_x0000_s1056" style="position:absolute;left:5023;top:11446;width:627;height:407" stroked="f">
              <v:textbox>
                <w:txbxContent>
                  <w:p w:rsidR="00481206" w:rsidRDefault="00481206" w:rsidP="00481206">
                    <w:r>
                      <w:rPr>
                        <w:rFonts w:hint="eastAsia"/>
                      </w:rPr>
                      <w:t>Su2</w:t>
                    </w:r>
                  </w:p>
                </w:txbxContent>
              </v:textbox>
            </v:rect>
            <v:rect id="_x0000_s1057" style="position:absolute;left:6119;top:10767;width:626;height:407" stroked="f">
              <v:textbox>
                <w:txbxContent>
                  <w:p w:rsidR="00481206" w:rsidRDefault="00481206" w:rsidP="00481206">
                    <w:r>
                      <w:rPr>
                        <w:rFonts w:hint="eastAsia"/>
                      </w:rPr>
                      <w:t>Su3</w:t>
                    </w:r>
                  </w:p>
                </w:txbxContent>
              </v:textbox>
            </v:rect>
            <v:rect id="_x0000_s1058" style="position:absolute;left:7684;top:10495;width:627;height:407" stroked="f">
              <v:textbox>
                <w:txbxContent>
                  <w:p w:rsidR="00481206" w:rsidRDefault="00481206" w:rsidP="00481206">
                    <w:r>
                      <w:rPr>
                        <w:rFonts w:hint="eastAsia"/>
                      </w:rPr>
                      <w:t>Su4</w:t>
                    </w:r>
                  </w:p>
                </w:txbxContent>
              </v:textbox>
            </v:rect>
            <v:rect id="_x0000_s1059" style="position:absolute;left:7997;top:11582;width:627;height:407" stroked="f">
              <v:textbox>
                <w:txbxContent>
                  <w:p w:rsidR="00481206" w:rsidRDefault="00481206" w:rsidP="00481206">
                    <w:r>
                      <w:rPr>
                        <w:rFonts w:hint="eastAsia"/>
                      </w:rPr>
                      <w:t>Su2</w:t>
                    </w:r>
                  </w:p>
                </w:txbxContent>
              </v:textbox>
            </v:rect>
            <v:rect id="_x0000_s1060" style="position:absolute;left:6432;top:11854;width:627;height:407" stroked="f">
              <v:textbox>
                <w:txbxContent>
                  <w:p w:rsidR="00481206" w:rsidRDefault="00481206" w:rsidP="00481206">
                    <w:r>
                      <w:rPr>
                        <w:rFonts w:hint="eastAsia"/>
                      </w:rPr>
                      <w:t xml:space="preserve"> Su</w:t>
                    </w:r>
                  </w:p>
                </w:txbxContent>
              </v:textbox>
            </v:rect>
            <v:rect id="_x0000_s1061" style="position:absolute;left:5492;top:12397;width:627;height:407" stroked="f">
              <v:textbox>
                <w:txbxContent>
                  <w:p w:rsidR="00481206" w:rsidRDefault="00481206" w:rsidP="00481206">
                    <w:r>
                      <w:rPr>
                        <w:rFonts w:hint="eastAsia"/>
                      </w:rPr>
                      <w:t xml:space="preserve"> S</w:t>
                    </w:r>
                  </w:p>
                </w:txbxContent>
              </v:textbox>
            </v:rect>
            <v:rect id="_x0000_s1062" style="position:absolute;left:7997;top:12805;width:627;height:407" stroked="f">
              <v:textbox>
                <w:txbxContent>
                  <w:p w:rsidR="00481206" w:rsidRDefault="00481206" w:rsidP="00481206">
                    <w:r>
                      <w:rPr>
                        <w:rFonts w:hint="eastAsia"/>
                      </w:rPr>
                      <w:t xml:space="preserve"> S</w:t>
                    </w:r>
                  </w:p>
                </w:txbxContent>
              </v:textbox>
            </v:rect>
            <v:rect id="_x0000_s1063" style="position:absolute;left:3771;top:14300;width:627;height:406" stroked="f">
              <v:textbox>
                <w:txbxContent>
                  <w:p w:rsidR="00481206" w:rsidRDefault="00481206" w:rsidP="00481206">
                    <w:r>
                      <w:rPr>
                        <w:rFonts w:hint="eastAsia"/>
                      </w:rPr>
                      <w:t xml:space="preserve"> Sd</w:t>
                    </w:r>
                  </w:p>
                </w:txbxContent>
              </v:textbox>
            </v:rect>
            <v:rect id="_x0000_s1064" style="position:absolute;left:5023;top:14979;width:627;height:406" stroked="f">
              <v:textbox>
                <w:txbxContent>
                  <w:p w:rsidR="00481206" w:rsidRDefault="00481206" w:rsidP="00481206">
                    <w:r>
                      <w:rPr>
                        <w:rFonts w:hint="eastAsia"/>
                      </w:rPr>
                      <w:t xml:space="preserve"> Sd2</w:t>
                    </w:r>
                  </w:p>
                </w:txbxContent>
              </v:textbox>
            </v:rect>
            <v:rect id="_x0000_s1065" style="position:absolute;left:5962;top:15522;width:627;height:406" stroked="f">
              <v:textbox>
                <w:txbxContent>
                  <w:p w:rsidR="00481206" w:rsidRDefault="00481206" w:rsidP="00481206">
                    <w:r>
                      <w:rPr>
                        <w:rFonts w:hint="eastAsia"/>
                      </w:rPr>
                      <w:t xml:space="preserve"> Sd3</w:t>
                    </w:r>
                  </w:p>
                </w:txbxContent>
              </v:textbox>
            </v:rect>
            <v:rect id="_x0000_s1066" style="position:absolute;left:7997;top:15794;width:627;height:406" stroked="f">
              <v:textbox>
                <w:txbxContent>
                  <w:p w:rsidR="00481206" w:rsidRDefault="00481206" w:rsidP="00481206">
                    <w:r>
                      <w:rPr>
                        <w:rFonts w:hint="eastAsia"/>
                      </w:rPr>
                      <w:t xml:space="preserve"> Sd4</w:t>
                    </w:r>
                  </w:p>
                </w:txbxContent>
              </v:textbox>
            </v:rect>
            <v:rect id="_x0000_s1067" style="position:absolute;left:8153;top:14164;width:627;height:406" stroked="f">
              <v:textbox>
                <w:txbxContent>
                  <w:p w:rsidR="00481206" w:rsidRDefault="00481206" w:rsidP="00481206">
                    <w:r>
                      <w:rPr>
                        <w:rFonts w:hint="eastAsia"/>
                      </w:rPr>
                      <w:t xml:space="preserve"> Sd2</w:t>
                    </w:r>
                  </w:p>
                </w:txbxContent>
              </v:textbox>
            </v:rect>
            <v:rect id="_x0000_s1068" style="position:absolute;left:6745;top:14164;width:627;height:406" stroked="f">
              <v:textbox>
                <w:txbxContent>
                  <w:p w:rsidR="00481206" w:rsidRDefault="00481206" w:rsidP="00481206">
                    <w:r>
                      <w:rPr>
                        <w:rFonts w:hint="eastAsia"/>
                      </w:rPr>
                      <w:t xml:space="preserve"> Sd</w:t>
                    </w:r>
                  </w:p>
                </w:txbxContent>
              </v:textbox>
            </v:rect>
            <w10:wrap type="none"/>
            <w10:anchorlock/>
          </v:group>
        </w:pict>
      </w:r>
    </w:p>
    <w:p w:rsidR="00481206" w:rsidRPr="00481206" w:rsidRDefault="00481206" w:rsidP="00481206">
      <w:pPr>
        <w:spacing w:line="360" w:lineRule="auto"/>
        <w:outlineLvl w:val="1"/>
        <w:rPr>
          <w:rFonts w:ascii="宋体" w:hAnsi="宋体" w:cs="宋体"/>
          <w:bCs/>
          <w:sz w:val="24"/>
        </w:rPr>
      </w:pPr>
      <w:r w:rsidRPr="00481206">
        <w:rPr>
          <w:rFonts w:ascii="宋体" w:hAnsi="宋体" w:cs="宋体" w:hint="eastAsia"/>
          <w:bCs/>
          <w:sz w:val="24"/>
        </w:rPr>
        <w:t xml:space="preserve">     </w:t>
      </w:r>
      <w:bookmarkStart w:id="772" w:name="_Toc444350374"/>
      <w:bookmarkStart w:id="773" w:name="_Toc474271849"/>
      <w:r w:rsidRPr="00481206">
        <w:rPr>
          <w:rFonts w:ascii="宋体" w:hAnsi="宋体" w:cs="宋体" w:hint="eastAsia"/>
          <w:bCs/>
          <w:sz w:val="24"/>
        </w:rPr>
        <w:t>随堂测验。</w:t>
      </w:r>
      <w:bookmarkEnd w:id="772"/>
      <w:bookmarkEnd w:id="773"/>
    </w:p>
    <w:p w:rsidR="00481206" w:rsidRPr="00481206" w:rsidRDefault="00481206" w:rsidP="00481206">
      <w:pPr>
        <w:spacing w:line="360" w:lineRule="auto"/>
        <w:ind w:firstLineChars="200" w:firstLine="480"/>
        <w:outlineLvl w:val="1"/>
        <w:rPr>
          <w:rFonts w:ascii="宋体" w:hAnsi="宋体" w:cs="宋体"/>
          <w:bCs/>
          <w:sz w:val="24"/>
        </w:rPr>
      </w:pPr>
      <w:bookmarkStart w:id="774" w:name="_Toc430424264"/>
      <w:bookmarkStart w:id="775" w:name="_Toc444350375"/>
      <w:bookmarkStart w:id="776" w:name="_Toc474271850"/>
      <w:r w:rsidRPr="00481206">
        <w:rPr>
          <w:rFonts w:ascii="宋体" w:hAnsi="宋体" w:cs="宋体" w:hint="eastAsia"/>
          <w:bCs/>
          <w:sz w:val="24"/>
        </w:rPr>
        <w:t>7.7.5教学方法</w:t>
      </w:r>
      <w:bookmarkEnd w:id="774"/>
      <w:bookmarkEnd w:id="775"/>
      <w:bookmarkEnd w:id="776"/>
    </w:p>
    <w:p w:rsidR="00481206" w:rsidRPr="00481206" w:rsidRDefault="00481206" w:rsidP="00481206">
      <w:pPr>
        <w:spacing w:line="360" w:lineRule="auto"/>
        <w:ind w:firstLineChars="200" w:firstLine="480"/>
        <w:outlineLvl w:val="1"/>
        <w:rPr>
          <w:rFonts w:ascii="宋体" w:hAnsi="宋体" w:cs="宋体"/>
          <w:sz w:val="24"/>
        </w:rPr>
      </w:pPr>
      <w:bookmarkStart w:id="777" w:name="_Toc430424265"/>
      <w:bookmarkStart w:id="778" w:name="_Toc444350376"/>
      <w:bookmarkStart w:id="779" w:name="_Toc474271851"/>
      <w:r w:rsidRPr="00481206">
        <w:rPr>
          <w:rFonts w:ascii="宋体" w:hAnsi="宋体" w:cs="宋体" w:hint="eastAsia"/>
          <w:sz w:val="24"/>
        </w:rPr>
        <w:t>课堂讲授；设问；案例分析。</w:t>
      </w:r>
      <w:bookmarkEnd w:id="777"/>
      <w:bookmarkEnd w:id="778"/>
      <w:bookmarkEnd w:id="779"/>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bCs/>
          <w:sz w:val="24"/>
        </w:rPr>
        <w:t xml:space="preserve">    </w:t>
      </w:r>
      <w:bookmarkStart w:id="780" w:name="_Toc430424266"/>
      <w:bookmarkStart w:id="781" w:name="_Toc444350377"/>
      <w:bookmarkStart w:id="782" w:name="_Toc474271852"/>
      <w:r w:rsidRPr="00481206">
        <w:rPr>
          <w:rFonts w:ascii="宋体" w:hAnsi="宋体" w:cs="宋体" w:hint="eastAsia"/>
          <w:bCs/>
          <w:sz w:val="24"/>
        </w:rPr>
        <w:t>7.7.6作业安排及课后反思</w:t>
      </w:r>
      <w:bookmarkEnd w:id="780"/>
      <w:bookmarkEnd w:id="781"/>
      <w:bookmarkEnd w:id="782"/>
      <w:r w:rsidRPr="00481206">
        <w:rPr>
          <w:rFonts w:ascii="宋体" w:hAnsi="宋体" w:cs="宋体" w:hint="eastAsia"/>
          <w:sz w:val="24"/>
        </w:rPr>
        <w:tab/>
      </w:r>
    </w:p>
    <w:p w:rsidR="00481206" w:rsidRPr="00481206" w:rsidRDefault="00481206" w:rsidP="00481206">
      <w:pPr>
        <w:widowControl/>
        <w:spacing w:line="360" w:lineRule="auto"/>
        <w:ind w:firstLineChars="200" w:firstLine="480"/>
        <w:jc w:val="left"/>
        <w:rPr>
          <w:rFonts w:ascii="宋体" w:hAnsi="宋体" w:cs="宋体"/>
          <w:kern w:val="0"/>
          <w:sz w:val="24"/>
        </w:rPr>
      </w:pPr>
      <w:r w:rsidRPr="00481206">
        <w:rPr>
          <w:rFonts w:ascii="宋体" w:hAnsi="宋体" w:cs="宋体" w:hint="eastAsia"/>
          <w:kern w:val="0"/>
          <w:sz w:val="24"/>
        </w:rPr>
        <w:t>1）试用单步二叉树模型说明如何用无套利和风险中性定价策略为欧式期权定价</w:t>
      </w:r>
    </w:p>
    <w:p w:rsidR="00481206" w:rsidRPr="00481206" w:rsidRDefault="00481206" w:rsidP="00481206">
      <w:pPr>
        <w:widowControl/>
        <w:spacing w:line="360" w:lineRule="auto"/>
        <w:ind w:firstLineChars="200" w:firstLine="480"/>
        <w:jc w:val="left"/>
        <w:rPr>
          <w:rFonts w:ascii="宋体" w:hAnsi="宋体" w:cs="宋体"/>
          <w:kern w:val="0"/>
          <w:sz w:val="24"/>
        </w:rPr>
      </w:pPr>
      <w:r w:rsidRPr="00481206">
        <w:rPr>
          <w:rFonts w:ascii="宋体" w:hAnsi="宋体" w:cs="宋体" w:hint="eastAsia"/>
          <w:kern w:val="0"/>
          <w:sz w:val="24"/>
        </w:rPr>
        <w:t>2）某股票现价为50元，6个月后价格将变为55元或45元。无风险年利率为10%。执行价格为50元，6个月后到期的欧式看跌期权的价格是多少？</w:t>
      </w:r>
    </w:p>
    <w:p w:rsidR="00481206" w:rsidRPr="00481206" w:rsidRDefault="00481206" w:rsidP="00481206">
      <w:pPr>
        <w:widowControl/>
        <w:spacing w:line="360" w:lineRule="auto"/>
        <w:ind w:firstLineChars="200" w:firstLine="480"/>
        <w:jc w:val="left"/>
        <w:rPr>
          <w:rFonts w:ascii="宋体" w:hAnsi="宋体" w:cs="宋体"/>
          <w:kern w:val="0"/>
          <w:sz w:val="24"/>
        </w:rPr>
      </w:pPr>
      <w:r w:rsidRPr="00481206">
        <w:rPr>
          <w:rFonts w:ascii="宋体" w:hAnsi="宋体" w:cs="宋体" w:hint="eastAsia"/>
          <w:kern w:val="0"/>
          <w:sz w:val="24"/>
        </w:rPr>
        <w:t>3）某股票现价为100元。有连续两个时间步，单个时间步的步长为6个月，每个单步二叉树预期上涨10%，或下跌10%。无风险年利率为8%。执行价格为100元的一年期欧式看涨期权的价格为多少？</w:t>
      </w:r>
    </w:p>
    <w:p w:rsidR="00481206" w:rsidRPr="00481206" w:rsidRDefault="00481206" w:rsidP="00481206">
      <w:pPr>
        <w:widowControl/>
        <w:spacing w:line="360" w:lineRule="auto"/>
        <w:ind w:firstLineChars="200" w:firstLine="480"/>
        <w:jc w:val="left"/>
        <w:rPr>
          <w:rFonts w:ascii="宋体" w:hAnsi="宋体" w:cs="宋体"/>
          <w:kern w:val="0"/>
          <w:sz w:val="24"/>
        </w:rPr>
      </w:pPr>
      <w:r w:rsidRPr="00481206">
        <w:rPr>
          <w:rFonts w:ascii="宋体" w:hAnsi="宋体"/>
          <w:kern w:val="0"/>
          <w:sz w:val="24"/>
        </w:rPr>
        <w:t>4）</w:t>
      </w:r>
      <w:r w:rsidRPr="00481206">
        <w:rPr>
          <w:rFonts w:ascii="宋体" w:hAnsi="宋体" w:cs="宋体" w:hint="eastAsia"/>
          <w:kern w:val="0"/>
          <w:sz w:val="24"/>
        </w:rPr>
        <w:t>求无红利支付股票的欧式看涨期权的价格。已知股票价格为</w:t>
      </w:r>
      <w:r w:rsidRPr="00481206">
        <w:rPr>
          <w:rFonts w:ascii="宋体" w:hAnsi="宋体"/>
          <w:kern w:val="0"/>
          <w:sz w:val="24"/>
        </w:rPr>
        <w:t>52</w:t>
      </w:r>
      <w:r w:rsidRPr="00481206">
        <w:rPr>
          <w:rFonts w:ascii="宋体" w:hAnsi="宋体" w:cs="宋体" w:hint="eastAsia"/>
          <w:kern w:val="0"/>
          <w:sz w:val="24"/>
        </w:rPr>
        <w:t>元，执行价格为</w:t>
      </w:r>
      <w:r w:rsidRPr="00481206">
        <w:rPr>
          <w:rFonts w:ascii="宋体" w:hAnsi="宋体"/>
          <w:kern w:val="0"/>
          <w:sz w:val="24"/>
        </w:rPr>
        <w:t>50</w:t>
      </w:r>
      <w:r w:rsidRPr="00481206">
        <w:rPr>
          <w:rFonts w:ascii="宋体" w:hAnsi="宋体" w:cs="宋体" w:hint="eastAsia"/>
          <w:kern w:val="0"/>
          <w:sz w:val="24"/>
        </w:rPr>
        <w:t>元，无风险年利率为</w:t>
      </w:r>
      <w:r w:rsidRPr="00481206">
        <w:rPr>
          <w:rFonts w:ascii="宋体" w:hAnsi="宋体"/>
          <w:kern w:val="0"/>
          <w:sz w:val="24"/>
        </w:rPr>
        <w:t>12%</w:t>
      </w:r>
      <w:r w:rsidRPr="00481206">
        <w:rPr>
          <w:rFonts w:ascii="宋体" w:hAnsi="宋体" w:cs="宋体" w:hint="eastAsia"/>
          <w:kern w:val="0"/>
          <w:sz w:val="24"/>
        </w:rPr>
        <w:t>，年波动率为</w:t>
      </w:r>
      <w:r w:rsidRPr="00481206">
        <w:rPr>
          <w:rFonts w:ascii="宋体" w:hAnsi="宋体"/>
          <w:kern w:val="0"/>
          <w:sz w:val="24"/>
        </w:rPr>
        <w:t>30%</w:t>
      </w:r>
      <w:r w:rsidRPr="00481206">
        <w:rPr>
          <w:rFonts w:ascii="宋体" w:hAnsi="宋体" w:cs="宋体" w:hint="eastAsia"/>
          <w:kern w:val="0"/>
          <w:sz w:val="24"/>
        </w:rPr>
        <w:t>，到期日期为</w:t>
      </w:r>
      <w:r w:rsidRPr="00481206">
        <w:rPr>
          <w:rFonts w:ascii="宋体" w:hAnsi="宋体"/>
          <w:kern w:val="0"/>
          <w:sz w:val="24"/>
        </w:rPr>
        <w:t>3</w:t>
      </w:r>
      <w:r w:rsidRPr="00481206">
        <w:rPr>
          <w:rFonts w:ascii="宋体" w:hAnsi="宋体" w:cs="宋体" w:hint="eastAsia"/>
          <w:kern w:val="0"/>
          <w:sz w:val="24"/>
        </w:rPr>
        <w:t>个月。</w:t>
      </w:r>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bCs/>
          <w:sz w:val="24"/>
        </w:rPr>
        <w:t xml:space="preserve">    </w:t>
      </w:r>
      <w:bookmarkStart w:id="783" w:name="_Toc430424274"/>
      <w:bookmarkStart w:id="784" w:name="_Toc444350378"/>
      <w:bookmarkStart w:id="785" w:name="_Toc474271853"/>
      <w:r w:rsidRPr="00481206">
        <w:rPr>
          <w:rFonts w:ascii="宋体" w:hAnsi="宋体" w:cs="宋体" w:hint="eastAsia"/>
          <w:bCs/>
          <w:sz w:val="24"/>
        </w:rPr>
        <w:t>7.7.7课前准备情况及其他相关特殊要求</w:t>
      </w:r>
      <w:bookmarkEnd w:id="783"/>
      <w:bookmarkEnd w:id="784"/>
      <w:bookmarkEnd w:id="785"/>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786" w:name="_Toc430424275"/>
      <w:bookmarkStart w:id="787" w:name="_Toc444350379"/>
      <w:bookmarkStart w:id="788" w:name="_Toc474271854"/>
      <w:r w:rsidRPr="00481206">
        <w:rPr>
          <w:rFonts w:ascii="宋体" w:hAnsi="宋体" w:cs="宋体" w:hint="eastAsia"/>
          <w:bCs/>
          <w:sz w:val="24"/>
        </w:rPr>
        <w:t>教师：</w:t>
      </w:r>
      <w:r w:rsidRPr="00481206">
        <w:rPr>
          <w:rFonts w:ascii="宋体" w:hAnsi="宋体" w:cs="宋体" w:hint="eastAsia"/>
          <w:sz w:val="24"/>
        </w:rPr>
        <w:t>熟悉课程教学要点；梳理实施方案，明确执行步骤；准备经验素材。</w:t>
      </w:r>
      <w:bookmarkEnd w:id="786"/>
      <w:bookmarkEnd w:id="787"/>
      <w:bookmarkEnd w:id="788"/>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sz w:val="24"/>
        </w:rPr>
        <w:t xml:space="preserve">    </w:t>
      </w:r>
      <w:bookmarkStart w:id="789" w:name="_Toc430424276"/>
      <w:bookmarkStart w:id="790" w:name="_Toc444350380"/>
      <w:bookmarkStart w:id="791" w:name="_Toc474271855"/>
      <w:r w:rsidRPr="00481206">
        <w:rPr>
          <w:rFonts w:ascii="宋体" w:hAnsi="宋体" w:cs="宋体" w:hint="eastAsia"/>
          <w:bCs/>
          <w:sz w:val="24"/>
        </w:rPr>
        <w:t>学生：</w:t>
      </w:r>
      <w:r w:rsidRPr="00481206">
        <w:rPr>
          <w:rFonts w:ascii="宋体" w:hAnsi="宋体" w:cs="宋体" w:hint="eastAsia"/>
          <w:sz w:val="24"/>
        </w:rPr>
        <w:t>预习金融期权的定价模型。</w:t>
      </w:r>
      <w:bookmarkEnd w:id="789"/>
      <w:bookmarkEnd w:id="790"/>
      <w:bookmarkEnd w:id="791"/>
    </w:p>
    <w:p w:rsidR="00481206" w:rsidRPr="00481206" w:rsidRDefault="00481206" w:rsidP="00481206">
      <w:pPr>
        <w:spacing w:line="360" w:lineRule="auto"/>
        <w:outlineLvl w:val="1"/>
        <w:rPr>
          <w:rFonts w:ascii="宋体" w:hAnsi="宋体" w:cs="宋体"/>
          <w:sz w:val="24"/>
        </w:rPr>
      </w:pPr>
      <w:r w:rsidRPr="00481206">
        <w:rPr>
          <w:rFonts w:ascii="宋体" w:hAnsi="宋体" w:cs="宋体" w:hint="eastAsia"/>
          <w:bCs/>
          <w:sz w:val="24"/>
        </w:rPr>
        <w:lastRenderedPageBreak/>
        <w:t xml:space="preserve">    </w:t>
      </w:r>
      <w:bookmarkStart w:id="792" w:name="_Toc430424277"/>
      <w:bookmarkStart w:id="793" w:name="_Toc444350381"/>
      <w:bookmarkStart w:id="794" w:name="_Toc474271856"/>
      <w:r w:rsidRPr="00481206">
        <w:rPr>
          <w:rFonts w:ascii="宋体" w:hAnsi="宋体" w:cs="宋体" w:hint="eastAsia"/>
          <w:bCs/>
          <w:sz w:val="24"/>
        </w:rPr>
        <w:t>7.7.8参考资料</w:t>
      </w:r>
      <w:bookmarkEnd w:id="792"/>
      <w:bookmarkEnd w:id="793"/>
      <w:bookmarkEnd w:id="794"/>
    </w:p>
    <w:p w:rsidR="00481206" w:rsidRPr="00481206" w:rsidRDefault="00481206" w:rsidP="00481206">
      <w:pPr>
        <w:spacing w:line="360" w:lineRule="auto"/>
        <w:ind w:firstLineChars="200" w:firstLine="480"/>
        <w:outlineLvl w:val="1"/>
        <w:rPr>
          <w:rFonts w:ascii="宋体" w:hAnsi="宋体" w:cs="宋体"/>
          <w:sz w:val="24"/>
        </w:rPr>
      </w:pPr>
      <w:bookmarkStart w:id="795" w:name="_Toc444350382"/>
      <w:bookmarkStart w:id="796" w:name="_Toc474271857"/>
      <w:r w:rsidRPr="00481206">
        <w:rPr>
          <w:rFonts w:ascii="宋体" w:hAnsi="宋体" w:hint="eastAsia"/>
          <w:sz w:val="24"/>
        </w:rPr>
        <w:t>高鸿业.西方及经济学学习与教学手册（第二版）[M],北京：中国人民大学出版社，  2007.</w:t>
      </w:r>
      <w:bookmarkEnd w:id="795"/>
      <w:bookmarkEnd w:id="796"/>
    </w:p>
    <w:p w:rsidR="00481206" w:rsidRPr="00481206" w:rsidRDefault="00481206" w:rsidP="00481206">
      <w:pPr>
        <w:spacing w:line="360" w:lineRule="auto"/>
        <w:ind w:firstLineChars="200" w:firstLine="480"/>
        <w:outlineLvl w:val="1"/>
        <w:rPr>
          <w:rFonts w:ascii="宋体" w:hAnsi="宋体" w:cs="宋体"/>
          <w:bCs/>
          <w:sz w:val="24"/>
        </w:rPr>
      </w:pPr>
      <w:bookmarkStart w:id="797" w:name="_Toc444350383"/>
      <w:bookmarkStart w:id="798" w:name="_Toc474271858"/>
      <w:r w:rsidRPr="00481206">
        <w:rPr>
          <w:rFonts w:ascii="宋体" w:hAnsi="宋体" w:cs="宋体" w:hint="eastAsia"/>
          <w:bCs/>
          <w:sz w:val="24"/>
        </w:rPr>
        <w:t>任映国.国际投资学</w:t>
      </w:r>
      <w:r w:rsidRPr="00481206">
        <w:rPr>
          <w:rFonts w:ascii="宋体" w:hAnsi="宋体" w:cs="宋体" w:hint="eastAsia"/>
          <w:sz w:val="24"/>
        </w:rPr>
        <w:t>[M]</w:t>
      </w:r>
      <w:r w:rsidRPr="00481206">
        <w:rPr>
          <w:rFonts w:ascii="宋体" w:hAnsi="宋体" w:cs="宋体" w:hint="eastAsia"/>
          <w:bCs/>
          <w:sz w:val="24"/>
        </w:rPr>
        <w:t>，北京：中国金融出版社出版社，2001.</w:t>
      </w:r>
      <w:bookmarkEnd w:id="797"/>
      <w:bookmarkEnd w:id="798"/>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陈信华.金融衍生工具[M],上海：上海财经大学出版社，2009.</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叶永刚.衍生金融工具[M],中国金融出版社,2004.</w:t>
      </w:r>
    </w:p>
    <w:p w:rsidR="00481206" w:rsidRPr="00481206" w:rsidRDefault="00481206" w:rsidP="00481206">
      <w:pPr>
        <w:spacing w:line="360" w:lineRule="auto"/>
        <w:ind w:firstLineChars="196" w:firstLine="470"/>
        <w:rPr>
          <w:rFonts w:ascii="宋体" w:hAnsi="宋体"/>
          <w:sz w:val="24"/>
        </w:rPr>
      </w:pPr>
      <w:r w:rsidRPr="00481206">
        <w:rPr>
          <w:rFonts w:ascii="宋体" w:hAnsi="宋体" w:hint="eastAsia"/>
          <w:sz w:val="24"/>
        </w:rPr>
        <w:t>赫尔著.期权、期货和其他衍生品[M],华夏出版社,2011.</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sz w:val="24"/>
        </w:rPr>
        <w:t>Hull,John C. Option,Futures and Other Derivative Securities(Fourth Edition) [M],2000.</w:t>
      </w:r>
    </w:p>
    <w:p w:rsidR="00481206" w:rsidRPr="00481206" w:rsidRDefault="00481206" w:rsidP="00481206">
      <w:pPr>
        <w:numPr>
          <w:ilvl w:val="0"/>
          <w:numId w:val="7"/>
        </w:numPr>
        <w:snapToGrid w:val="0"/>
        <w:spacing w:line="360" w:lineRule="auto"/>
        <w:rPr>
          <w:rFonts w:ascii="宋体" w:hAnsi="宋体" w:cs="宋体"/>
          <w:sz w:val="24"/>
        </w:rPr>
      </w:pPr>
      <w:r w:rsidRPr="00481206">
        <w:rPr>
          <w:rFonts w:ascii="宋体" w:hAnsi="宋体" w:cs="宋体" w:hint="eastAsia"/>
          <w:sz w:val="24"/>
        </w:rPr>
        <w:t>【作业执行的备注】</w:t>
      </w:r>
    </w:p>
    <w:p w:rsidR="00481206" w:rsidRPr="00481206" w:rsidRDefault="00481206" w:rsidP="00481206">
      <w:pPr>
        <w:numPr>
          <w:ilvl w:val="0"/>
          <w:numId w:val="8"/>
        </w:numPr>
        <w:snapToGrid w:val="0"/>
        <w:spacing w:line="360" w:lineRule="auto"/>
        <w:ind w:left="840"/>
        <w:rPr>
          <w:rFonts w:ascii="宋体" w:hAnsi="宋体" w:cs="宋体"/>
          <w:sz w:val="24"/>
        </w:rPr>
      </w:pPr>
      <w:r w:rsidRPr="00481206">
        <w:rPr>
          <w:rFonts w:ascii="宋体" w:hAnsi="宋体" w:cs="宋体" w:hint="eastAsia"/>
          <w:sz w:val="24"/>
        </w:rPr>
        <w:t>作业采用预留形式，对学生进行一次性公布；</w:t>
      </w:r>
    </w:p>
    <w:p w:rsidR="00481206" w:rsidRPr="00481206" w:rsidRDefault="00481206" w:rsidP="00481206">
      <w:pPr>
        <w:numPr>
          <w:ilvl w:val="0"/>
          <w:numId w:val="8"/>
        </w:numPr>
        <w:snapToGrid w:val="0"/>
        <w:spacing w:line="360" w:lineRule="auto"/>
        <w:ind w:left="840"/>
        <w:rPr>
          <w:rFonts w:ascii="宋体" w:hAnsi="宋体" w:cs="宋体"/>
          <w:sz w:val="24"/>
        </w:rPr>
      </w:pPr>
      <w:r w:rsidRPr="00481206">
        <w:rPr>
          <w:rFonts w:ascii="宋体" w:hAnsi="宋体" w:cs="宋体" w:hint="eastAsia"/>
          <w:sz w:val="24"/>
        </w:rPr>
        <w:t>作业上交时间为最后一次上课结束时；</w:t>
      </w:r>
    </w:p>
    <w:p w:rsidR="00481206" w:rsidRPr="00481206" w:rsidRDefault="00481206" w:rsidP="00481206">
      <w:pPr>
        <w:numPr>
          <w:ilvl w:val="0"/>
          <w:numId w:val="8"/>
        </w:numPr>
        <w:snapToGrid w:val="0"/>
        <w:spacing w:line="360" w:lineRule="auto"/>
        <w:ind w:left="840"/>
        <w:rPr>
          <w:rFonts w:ascii="宋体" w:hAnsi="宋体" w:cs="宋体"/>
          <w:sz w:val="24"/>
        </w:rPr>
      </w:pPr>
      <w:r w:rsidRPr="00481206">
        <w:rPr>
          <w:rFonts w:ascii="宋体" w:hAnsi="宋体" w:cs="宋体" w:hint="eastAsia"/>
          <w:sz w:val="24"/>
        </w:rPr>
        <w:t>作业由班级学习委员统一收缴，并提供作业提交的信息表格；</w:t>
      </w:r>
    </w:p>
    <w:p w:rsidR="00481206" w:rsidRPr="00481206" w:rsidRDefault="00481206" w:rsidP="00481206">
      <w:pPr>
        <w:numPr>
          <w:ilvl w:val="0"/>
          <w:numId w:val="8"/>
        </w:numPr>
        <w:snapToGrid w:val="0"/>
        <w:spacing w:line="360" w:lineRule="auto"/>
        <w:ind w:left="840"/>
        <w:rPr>
          <w:rFonts w:ascii="宋体" w:hAnsi="宋体" w:cs="宋体"/>
          <w:sz w:val="24"/>
        </w:rPr>
      </w:pPr>
      <w:r w:rsidRPr="00481206">
        <w:rPr>
          <w:rFonts w:ascii="宋体" w:hAnsi="宋体" w:cs="宋体" w:hint="eastAsia"/>
          <w:sz w:val="24"/>
        </w:rPr>
        <w:t>作业评价采用等级式评分方法；</w:t>
      </w:r>
    </w:p>
    <w:p w:rsidR="00481206" w:rsidRPr="00481206" w:rsidRDefault="00481206" w:rsidP="00481206">
      <w:pPr>
        <w:numPr>
          <w:ilvl w:val="0"/>
          <w:numId w:val="8"/>
        </w:numPr>
        <w:snapToGrid w:val="0"/>
        <w:spacing w:line="360" w:lineRule="auto"/>
        <w:ind w:left="840"/>
        <w:rPr>
          <w:rFonts w:ascii="宋体" w:hAnsi="宋体" w:cs="宋体"/>
          <w:sz w:val="24"/>
        </w:rPr>
      </w:pPr>
      <w:r w:rsidRPr="00481206">
        <w:rPr>
          <w:rFonts w:ascii="宋体" w:hAnsi="宋体" w:cs="宋体" w:hint="eastAsia"/>
          <w:sz w:val="24"/>
        </w:rPr>
        <w:t>作业考评占平时成绩比重的30%；</w:t>
      </w:r>
    </w:p>
    <w:p w:rsidR="00481206" w:rsidRPr="00481206" w:rsidRDefault="00481206" w:rsidP="00481206">
      <w:pPr>
        <w:numPr>
          <w:ilvl w:val="0"/>
          <w:numId w:val="8"/>
        </w:numPr>
        <w:snapToGrid w:val="0"/>
        <w:spacing w:line="360" w:lineRule="auto"/>
        <w:ind w:left="840"/>
        <w:rPr>
          <w:rFonts w:ascii="宋体" w:hAnsi="宋体" w:cs="宋体"/>
          <w:sz w:val="24"/>
        </w:rPr>
      </w:pPr>
      <w:r w:rsidRPr="00481206">
        <w:rPr>
          <w:rFonts w:ascii="宋体" w:hAnsi="宋体" w:cs="宋体" w:hint="eastAsia"/>
          <w:sz w:val="24"/>
        </w:rPr>
        <w:t>作业中存在的问题和经验，通过一定形式与学员探讨分享；</w:t>
      </w:r>
    </w:p>
    <w:p w:rsidR="00481206" w:rsidRPr="00481206" w:rsidRDefault="00481206" w:rsidP="00481206">
      <w:pPr>
        <w:numPr>
          <w:ilvl w:val="0"/>
          <w:numId w:val="8"/>
        </w:numPr>
        <w:snapToGrid w:val="0"/>
        <w:spacing w:line="360" w:lineRule="auto"/>
        <w:ind w:left="840"/>
        <w:rPr>
          <w:rFonts w:ascii="宋体" w:hAnsi="宋体" w:cs="宋体"/>
          <w:sz w:val="24"/>
        </w:rPr>
      </w:pPr>
      <w:r w:rsidRPr="00481206">
        <w:rPr>
          <w:rFonts w:ascii="宋体" w:hAnsi="宋体" w:cs="宋体" w:hint="eastAsia"/>
          <w:sz w:val="24"/>
        </w:rPr>
        <w:t>进行事前控制，确定作业评价标准，明确作业行为诚信，拟定违约成本细则。</w:t>
      </w:r>
    </w:p>
    <w:p w:rsidR="00481206" w:rsidRPr="00481206" w:rsidRDefault="00481206" w:rsidP="00481206">
      <w:pPr>
        <w:snapToGrid w:val="0"/>
        <w:spacing w:line="360" w:lineRule="auto"/>
        <w:rPr>
          <w:rFonts w:ascii="宋体" w:hAnsi="宋体" w:cs="宋体"/>
          <w:sz w:val="24"/>
        </w:rPr>
      </w:pPr>
    </w:p>
    <w:p w:rsidR="00481206" w:rsidRPr="00481206" w:rsidRDefault="00481206" w:rsidP="00481206">
      <w:pPr>
        <w:snapToGrid w:val="0"/>
        <w:spacing w:line="360" w:lineRule="auto"/>
        <w:rPr>
          <w:rFonts w:ascii="宋体" w:hAnsi="宋体" w:cs="宋体"/>
          <w:sz w:val="24"/>
        </w:rPr>
      </w:pPr>
    </w:p>
    <w:p w:rsidR="00481206" w:rsidRPr="00481206" w:rsidRDefault="00481206" w:rsidP="00481206">
      <w:pPr>
        <w:snapToGrid w:val="0"/>
        <w:spacing w:line="360" w:lineRule="auto"/>
        <w:rPr>
          <w:rFonts w:ascii="宋体" w:hAnsi="宋体" w:cs="宋体"/>
          <w:sz w:val="24"/>
        </w:rPr>
      </w:pPr>
    </w:p>
    <w:p w:rsidR="00481206" w:rsidRPr="00481206" w:rsidRDefault="00481206" w:rsidP="00481206">
      <w:pPr>
        <w:snapToGrid w:val="0"/>
        <w:spacing w:line="360" w:lineRule="auto"/>
        <w:rPr>
          <w:rFonts w:ascii="宋体" w:hAnsi="宋体" w:cs="宋体"/>
          <w:sz w:val="24"/>
        </w:rPr>
      </w:pPr>
    </w:p>
    <w:p w:rsidR="00481206" w:rsidRPr="00481206" w:rsidRDefault="00481206" w:rsidP="00481206">
      <w:pPr>
        <w:snapToGrid w:val="0"/>
        <w:spacing w:line="360" w:lineRule="auto"/>
        <w:rPr>
          <w:rFonts w:ascii="宋体" w:hAnsi="宋体" w:cs="宋体"/>
          <w:sz w:val="24"/>
        </w:rPr>
      </w:pPr>
    </w:p>
    <w:p w:rsidR="00481206" w:rsidRPr="00481206" w:rsidRDefault="00481206" w:rsidP="00481206">
      <w:pPr>
        <w:snapToGrid w:val="0"/>
        <w:spacing w:line="360" w:lineRule="auto"/>
        <w:rPr>
          <w:rFonts w:ascii="宋体" w:hAnsi="宋体" w:cs="宋体"/>
          <w:sz w:val="24"/>
        </w:rPr>
      </w:pPr>
    </w:p>
    <w:p w:rsidR="00481206" w:rsidRPr="00481206" w:rsidRDefault="00481206" w:rsidP="00481206">
      <w:pPr>
        <w:snapToGrid w:val="0"/>
        <w:spacing w:line="360" w:lineRule="auto"/>
        <w:rPr>
          <w:rFonts w:ascii="宋体" w:hAnsi="宋体" w:cs="宋体"/>
          <w:sz w:val="24"/>
        </w:rPr>
      </w:pPr>
    </w:p>
    <w:p w:rsidR="00481206" w:rsidRPr="00481206" w:rsidRDefault="00481206" w:rsidP="00481206">
      <w:pPr>
        <w:snapToGrid w:val="0"/>
        <w:spacing w:line="360" w:lineRule="auto"/>
        <w:rPr>
          <w:rFonts w:ascii="宋体" w:hAnsi="宋体" w:cs="宋体"/>
          <w:sz w:val="24"/>
        </w:rPr>
      </w:pPr>
    </w:p>
    <w:p w:rsidR="00481206" w:rsidRPr="00481206" w:rsidRDefault="00481206" w:rsidP="00481206">
      <w:pPr>
        <w:snapToGrid w:val="0"/>
        <w:spacing w:line="360" w:lineRule="auto"/>
        <w:rPr>
          <w:rFonts w:ascii="宋体" w:hAnsi="宋体" w:cs="宋体"/>
          <w:sz w:val="24"/>
        </w:rPr>
      </w:pPr>
    </w:p>
    <w:p w:rsidR="00481206" w:rsidRPr="00481206" w:rsidRDefault="00481206" w:rsidP="00481206">
      <w:pPr>
        <w:snapToGrid w:val="0"/>
        <w:spacing w:line="360" w:lineRule="auto"/>
        <w:rPr>
          <w:rFonts w:ascii="宋体" w:hAnsi="宋体" w:cs="宋体"/>
          <w:sz w:val="24"/>
        </w:rPr>
      </w:pPr>
    </w:p>
    <w:p w:rsidR="00481206" w:rsidRPr="00481206" w:rsidRDefault="00481206" w:rsidP="00481206">
      <w:pPr>
        <w:snapToGrid w:val="0"/>
        <w:spacing w:line="360" w:lineRule="auto"/>
        <w:rPr>
          <w:rFonts w:ascii="宋体" w:hAnsi="宋体" w:cs="宋体"/>
          <w:sz w:val="24"/>
        </w:rPr>
      </w:pPr>
    </w:p>
    <w:p w:rsidR="00481206" w:rsidRPr="00481206" w:rsidRDefault="00481206" w:rsidP="00481206">
      <w:pPr>
        <w:snapToGrid w:val="0"/>
        <w:spacing w:line="360" w:lineRule="auto"/>
        <w:rPr>
          <w:rFonts w:ascii="宋体" w:hAnsi="宋体" w:cs="宋体"/>
          <w:sz w:val="24"/>
        </w:rPr>
      </w:pPr>
    </w:p>
    <w:p w:rsidR="00481206" w:rsidRPr="00481206" w:rsidRDefault="00481206" w:rsidP="00481206">
      <w:pPr>
        <w:pStyle w:val="2"/>
        <w:spacing w:before="0" w:after="0" w:line="360" w:lineRule="auto"/>
        <w:jc w:val="center"/>
        <w:rPr>
          <w:rFonts w:ascii="黑体" w:hAnsi="黑体" w:cs="宋体"/>
          <w:sz w:val="44"/>
          <w:szCs w:val="44"/>
        </w:rPr>
      </w:pPr>
      <w:bookmarkStart w:id="799" w:name="_Toc403319296"/>
      <w:bookmarkStart w:id="800" w:name="_Toc17448"/>
      <w:bookmarkStart w:id="801" w:name="_Toc26955"/>
      <w:bookmarkStart w:id="802" w:name="_Toc7632"/>
      <w:bookmarkStart w:id="803" w:name="_Toc474271859"/>
      <w:r w:rsidRPr="00481206">
        <w:rPr>
          <w:rFonts w:ascii="黑体" w:hAnsi="黑体" w:cs="宋体" w:hint="eastAsia"/>
          <w:sz w:val="44"/>
          <w:szCs w:val="44"/>
        </w:rPr>
        <w:lastRenderedPageBreak/>
        <w:t>8 课程要求</w:t>
      </w:r>
      <w:bookmarkEnd w:id="799"/>
      <w:bookmarkEnd w:id="800"/>
      <w:bookmarkEnd w:id="801"/>
      <w:bookmarkEnd w:id="802"/>
      <w:bookmarkEnd w:id="803"/>
    </w:p>
    <w:p w:rsidR="00481206" w:rsidRPr="00481206" w:rsidRDefault="00481206" w:rsidP="00481206">
      <w:pPr>
        <w:pStyle w:val="3"/>
        <w:spacing w:before="0" w:after="0" w:line="360" w:lineRule="auto"/>
        <w:rPr>
          <w:rFonts w:ascii="宋体" w:hAnsi="宋体" w:cs="宋体"/>
          <w:sz w:val="28"/>
          <w:szCs w:val="28"/>
        </w:rPr>
      </w:pPr>
      <w:bookmarkStart w:id="804" w:name="_Toc403319297"/>
      <w:bookmarkStart w:id="805" w:name="_Toc20190"/>
      <w:bookmarkStart w:id="806" w:name="_Toc474271860"/>
      <w:r w:rsidRPr="00481206">
        <w:rPr>
          <w:rFonts w:ascii="宋体" w:hAnsi="宋体" w:cs="宋体" w:hint="eastAsia"/>
          <w:sz w:val="28"/>
          <w:szCs w:val="28"/>
        </w:rPr>
        <w:t>8.1学生自学的要求</w:t>
      </w:r>
      <w:bookmarkEnd w:id="804"/>
      <w:bookmarkEnd w:id="805"/>
      <w:bookmarkEnd w:id="806"/>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教与学双边的关系中，充分发挥学生自觉学习的积极性，是有效提升教学质量的必要条件。《</w:t>
      </w:r>
      <w:r w:rsidRPr="00481206">
        <w:rPr>
          <w:rFonts w:hint="eastAsia"/>
          <w:sz w:val="24"/>
        </w:rPr>
        <w:t>衍生金融产品概论</w:t>
      </w:r>
      <w:r w:rsidRPr="00481206">
        <w:rPr>
          <w:rFonts w:ascii="宋体" w:hAnsi="宋体" w:cs="宋体" w:hint="eastAsia"/>
          <w:sz w:val="24"/>
        </w:rPr>
        <w:t>》理论知识体系覆盖面广，体现多学科理论知识的综合，因此，在课堂教学的基础上，需要充分利用课余时间实现学生的自主学习。《</w:t>
      </w:r>
      <w:r w:rsidRPr="00481206">
        <w:rPr>
          <w:rFonts w:hint="eastAsia"/>
          <w:sz w:val="24"/>
        </w:rPr>
        <w:t>衍生金融产品概论</w:t>
      </w:r>
      <w:r w:rsidRPr="00481206">
        <w:rPr>
          <w:rFonts w:ascii="宋体" w:hAnsi="宋体" w:cs="宋体" w:hint="eastAsia"/>
          <w:sz w:val="24"/>
        </w:rPr>
        <w:t>》课程教学实施中，实现学生有效的自觉学习，需要从教师和学生两方面入手：</w:t>
      </w:r>
    </w:p>
    <w:p w:rsidR="00481206" w:rsidRPr="00481206" w:rsidRDefault="00481206" w:rsidP="00481206">
      <w:pPr>
        <w:numPr>
          <w:ilvl w:val="0"/>
          <w:numId w:val="9"/>
        </w:numPr>
        <w:spacing w:line="360" w:lineRule="auto"/>
        <w:ind w:left="840"/>
        <w:rPr>
          <w:rFonts w:ascii="宋体" w:hAnsi="宋体" w:cs="宋体"/>
          <w:sz w:val="24"/>
        </w:rPr>
      </w:pPr>
      <w:r w:rsidRPr="00481206">
        <w:rPr>
          <w:rFonts w:ascii="宋体" w:hAnsi="宋体" w:cs="宋体" w:hint="eastAsia"/>
          <w:sz w:val="24"/>
        </w:rPr>
        <w:t>教师有效的引导，授人以渔，让学生了解自学重要性的同时，使其学会和掌握自学的方式方法，明确实现自觉学习的基本路径。</w:t>
      </w:r>
    </w:p>
    <w:p w:rsidR="00481206" w:rsidRPr="00481206" w:rsidRDefault="00481206" w:rsidP="00481206">
      <w:pPr>
        <w:numPr>
          <w:ilvl w:val="0"/>
          <w:numId w:val="9"/>
        </w:numPr>
        <w:spacing w:line="360" w:lineRule="auto"/>
        <w:ind w:left="840"/>
        <w:rPr>
          <w:rFonts w:ascii="宋体" w:hAnsi="宋体" w:cs="宋体"/>
          <w:sz w:val="24"/>
        </w:rPr>
      </w:pPr>
      <w:r w:rsidRPr="00481206">
        <w:rPr>
          <w:rFonts w:ascii="宋体" w:hAnsi="宋体" w:cs="宋体" w:hint="eastAsia"/>
          <w:sz w:val="24"/>
        </w:rPr>
        <w:t>学生自觉性的培养。在课程教学实施大纲设计的制度框架下，提供学生自觉学习的外部激励条件，并引导学生内在主观能动性的培养，变被动学习为主动学习，自觉推行与课堂教学平行的自学进度，完成超前自学、同步自学与检验性自学三个方面的要求，提升知识吸收、引申思辨、判断分析和归纳概括等方面的能力，并培养良好的学习习惯，增进学习的自觉性，并不断完善学习的方法。</w:t>
      </w:r>
    </w:p>
    <w:p w:rsidR="00481206" w:rsidRPr="00481206" w:rsidRDefault="00481206" w:rsidP="00481206">
      <w:pPr>
        <w:pStyle w:val="3"/>
        <w:spacing w:before="0" w:after="0" w:line="360" w:lineRule="auto"/>
        <w:rPr>
          <w:rFonts w:ascii="宋体" w:hAnsi="宋体" w:cs="宋体"/>
          <w:sz w:val="28"/>
          <w:szCs w:val="28"/>
        </w:rPr>
      </w:pPr>
      <w:bookmarkStart w:id="807" w:name="_Toc403319298"/>
      <w:bookmarkStart w:id="808" w:name="_Toc11701"/>
      <w:bookmarkStart w:id="809" w:name="_Toc474271861"/>
      <w:r w:rsidRPr="00481206">
        <w:rPr>
          <w:rFonts w:ascii="宋体" w:hAnsi="宋体" w:cs="宋体" w:hint="eastAsia"/>
          <w:sz w:val="28"/>
          <w:szCs w:val="28"/>
        </w:rPr>
        <w:t>8.2课外阅读的要求</w:t>
      </w:r>
      <w:bookmarkEnd w:id="807"/>
      <w:bookmarkEnd w:id="808"/>
      <w:bookmarkEnd w:id="809"/>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俗话说，“书上学来终觉浅”，要深入领会和掌握课程教学的知识，在以讲授为主导形式的课堂理论教学之外，还需要一个与课堂教学平行的积累过程。广泛的且相关联的课外阅读，是巩固和提升理论分析、理解和识辨能力的重要基础，因此，提出课外阅读的要求，培养学生课外阅读的习惯，是保证有效学习的又一重要的层面。《</w:t>
      </w:r>
      <w:r w:rsidRPr="00481206">
        <w:rPr>
          <w:rFonts w:hint="eastAsia"/>
          <w:sz w:val="24"/>
        </w:rPr>
        <w:t>衍生金融产品概论</w:t>
      </w:r>
      <w:r w:rsidRPr="00481206">
        <w:rPr>
          <w:rFonts w:ascii="宋体" w:hAnsi="宋体" w:cs="宋体" w:hint="eastAsia"/>
          <w:sz w:val="24"/>
        </w:rPr>
        <w:t>》课程教学实施对课外阅读的基本要求要做到：</w:t>
      </w:r>
    </w:p>
    <w:p w:rsidR="00481206" w:rsidRPr="00481206" w:rsidRDefault="00481206" w:rsidP="00481206">
      <w:pPr>
        <w:numPr>
          <w:ilvl w:val="0"/>
          <w:numId w:val="10"/>
        </w:numPr>
        <w:spacing w:line="360" w:lineRule="auto"/>
        <w:ind w:left="840"/>
        <w:rPr>
          <w:rFonts w:ascii="宋体" w:hAnsi="宋体" w:cs="宋体"/>
          <w:sz w:val="24"/>
        </w:rPr>
      </w:pPr>
      <w:r w:rsidRPr="00481206">
        <w:rPr>
          <w:rFonts w:ascii="宋体" w:hAnsi="宋体" w:cs="宋体" w:hint="eastAsia"/>
          <w:sz w:val="24"/>
        </w:rPr>
        <w:t>明确课外阅读的基本要求，并在大纲中以制度的形式表现出来；</w:t>
      </w:r>
    </w:p>
    <w:p w:rsidR="00481206" w:rsidRPr="00481206" w:rsidRDefault="00481206" w:rsidP="00481206">
      <w:pPr>
        <w:numPr>
          <w:ilvl w:val="0"/>
          <w:numId w:val="10"/>
        </w:numPr>
        <w:spacing w:line="360" w:lineRule="auto"/>
        <w:ind w:left="840"/>
        <w:rPr>
          <w:rFonts w:ascii="宋体" w:hAnsi="宋体" w:cs="宋体"/>
          <w:sz w:val="24"/>
        </w:rPr>
      </w:pPr>
      <w:r w:rsidRPr="00481206">
        <w:rPr>
          <w:rFonts w:ascii="宋体" w:hAnsi="宋体" w:cs="宋体" w:hint="eastAsia"/>
          <w:sz w:val="24"/>
        </w:rPr>
        <w:t>指定课外阅读材料，并尽可能提供课外资料查阅的参考渠道；</w:t>
      </w:r>
    </w:p>
    <w:p w:rsidR="00481206" w:rsidRPr="00481206" w:rsidRDefault="00481206" w:rsidP="00481206">
      <w:pPr>
        <w:numPr>
          <w:ilvl w:val="0"/>
          <w:numId w:val="10"/>
        </w:numPr>
        <w:spacing w:line="360" w:lineRule="auto"/>
        <w:ind w:left="840"/>
        <w:rPr>
          <w:rFonts w:ascii="宋体" w:hAnsi="宋体" w:cs="宋体"/>
          <w:sz w:val="24"/>
        </w:rPr>
      </w:pPr>
      <w:r w:rsidRPr="00481206">
        <w:rPr>
          <w:rFonts w:ascii="宋体" w:hAnsi="宋体" w:cs="宋体" w:hint="eastAsia"/>
          <w:sz w:val="24"/>
        </w:rPr>
        <w:t>培养学员良好的阅读习惯，使其做到能读、爱读和善读，从而拓展其知识面，深化其对专业理论知识的认识，促进理论与经验、实践的有效结合；</w:t>
      </w:r>
    </w:p>
    <w:p w:rsidR="00481206" w:rsidRPr="00481206" w:rsidRDefault="00481206" w:rsidP="00481206">
      <w:pPr>
        <w:numPr>
          <w:ilvl w:val="0"/>
          <w:numId w:val="10"/>
        </w:numPr>
        <w:spacing w:line="360" w:lineRule="auto"/>
        <w:ind w:left="840"/>
        <w:rPr>
          <w:rFonts w:ascii="宋体" w:hAnsi="宋体" w:cs="宋体"/>
          <w:sz w:val="24"/>
        </w:rPr>
      </w:pPr>
      <w:r w:rsidRPr="00481206">
        <w:rPr>
          <w:rFonts w:ascii="宋体" w:hAnsi="宋体" w:cs="宋体" w:hint="eastAsia"/>
          <w:sz w:val="24"/>
        </w:rPr>
        <w:t>介绍、探讨和总结课外阅读的方式方法，促进规范性阅读、培养兴趣性阅读、提倡并鼓励提升性阅读。</w:t>
      </w:r>
    </w:p>
    <w:p w:rsidR="00481206" w:rsidRPr="00481206" w:rsidRDefault="00481206" w:rsidP="00481206">
      <w:pPr>
        <w:pStyle w:val="3"/>
        <w:spacing w:before="0" w:after="0" w:line="360" w:lineRule="auto"/>
        <w:rPr>
          <w:rFonts w:ascii="宋体" w:hAnsi="宋体" w:cs="宋体"/>
          <w:sz w:val="28"/>
          <w:szCs w:val="28"/>
        </w:rPr>
      </w:pPr>
      <w:bookmarkStart w:id="810" w:name="_Toc403319299"/>
      <w:bookmarkStart w:id="811" w:name="_Toc2360"/>
      <w:bookmarkStart w:id="812" w:name="_Toc474271862"/>
      <w:r w:rsidRPr="00481206">
        <w:rPr>
          <w:rFonts w:ascii="宋体" w:hAnsi="宋体" w:cs="宋体" w:hint="eastAsia"/>
          <w:sz w:val="28"/>
          <w:szCs w:val="28"/>
        </w:rPr>
        <w:t>8.3课堂讨论的要求</w:t>
      </w:r>
      <w:bookmarkEnd w:id="810"/>
      <w:bookmarkEnd w:id="811"/>
      <w:bookmarkEnd w:id="812"/>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课堂讨论在提升课堂教学互动性，激发兴趣，开拓思维，启发创新等方面，具有积极的意义，并能有效弥补单纯灌输式教学的不足。结合《</w:t>
      </w:r>
      <w:r w:rsidRPr="00481206">
        <w:rPr>
          <w:rFonts w:hint="eastAsia"/>
          <w:sz w:val="24"/>
        </w:rPr>
        <w:t>衍生金融产品概论</w:t>
      </w:r>
      <w:r w:rsidRPr="00481206">
        <w:rPr>
          <w:rFonts w:ascii="宋体" w:hAnsi="宋体" w:cs="宋体" w:hint="eastAsia"/>
          <w:sz w:val="24"/>
        </w:rPr>
        <w:t>》的课程性</w:t>
      </w:r>
      <w:r w:rsidRPr="00481206">
        <w:rPr>
          <w:rFonts w:ascii="宋体" w:hAnsi="宋体" w:cs="宋体" w:hint="eastAsia"/>
          <w:sz w:val="24"/>
        </w:rPr>
        <w:lastRenderedPageBreak/>
        <w:t>质，其课堂讨论的安排需要关注以下几方面的问题：</w:t>
      </w:r>
    </w:p>
    <w:p w:rsidR="00481206" w:rsidRPr="00481206" w:rsidRDefault="00481206" w:rsidP="00481206">
      <w:pPr>
        <w:numPr>
          <w:ilvl w:val="0"/>
          <w:numId w:val="11"/>
        </w:numPr>
        <w:spacing w:line="360" w:lineRule="auto"/>
        <w:ind w:left="840"/>
        <w:rPr>
          <w:rFonts w:ascii="宋体" w:hAnsi="宋体" w:cs="宋体"/>
          <w:sz w:val="24"/>
        </w:rPr>
      </w:pPr>
      <w:r w:rsidRPr="00481206">
        <w:rPr>
          <w:rFonts w:ascii="宋体" w:hAnsi="宋体" w:cs="宋体" w:hint="eastAsia"/>
          <w:sz w:val="24"/>
        </w:rPr>
        <w:t>课堂讨论安排的事前性。事前性安排保证了在课程或相关教学单元开展之前，将与课堂讨论主题相关的信息，在教师和学生之间进行充分的共享，从而保证教师能够在制度规范的约束下积极地做好课堂讨论的系统准备，促使学生积极地在课余时间为有效的讨论参与做好准备。</w:t>
      </w:r>
    </w:p>
    <w:p w:rsidR="00481206" w:rsidRPr="00481206" w:rsidRDefault="00481206" w:rsidP="00481206">
      <w:pPr>
        <w:numPr>
          <w:ilvl w:val="0"/>
          <w:numId w:val="11"/>
        </w:numPr>
        <w:spacing w:line="360" w:lineRule="auto"/>
        <w:ind w:left="840"/>
        <w:rPr>
          <w:rFonts w:ascii="宋体" w:hAnsi="宋体" w:cs="宋体"/>
          <w:sz w:val="24"/>
        </w:rPr>
      </w:pPr>
      <w:r w:rsidRPr="00481206">
        <w:rPr>
          <w:rFonts w:ascii="宋体" w:hAnsi="宋体" w:cs="宋体" w:hint="eastAsia"/>
          <w:sz w:val="24"/>
        </w:rPr>
        <w:t>讨论进程可控性。通过事前设计明确课堂讨论的主题、目标、步骤及时间条件等，并在课堂讨论实施过程中，充分发挥教师的掌控作用，做到“问题说透，效率到位”。</w:t>
      </w:r>
    </w:p>
    <w:p w:rsidR="00481206" w:rsidRPr="00481206" w:rsidRDefault="00481206" w:rsidP="00481206">
      <w:pPr>
        <w:numPr>
          <w:ilvl w:val="0"/>
          <w:numId w:val="11"/>
        </w:numPr>
        <w:spacing w:line="360" w:lineRule="auto"/>
        <w:ind w:left="840"/>
        <w:rPr>
          <w:rFonts w:ascii="宋体" w:hAnsi="宋体" w:cs="宋体"/>
          <w:sz w:val="24"/>
        </w:rPr>
      </w:pPr>
      <w:r w:rsidRPr="00481206">
        <w:rPr>
          <w:rFonts w:ascii="宋体" w:hAnsi="宋体" w:cs="宋体" w:hint="eastAsia"/>
          <w:sz w:val="24"/>
        </w:rPr>
        <w:t>讨论参与的广泛性。课堂讨论要杜绝“一言堂”，运用大纲中设计的激励机会，充分调动所有学生参与的积极性，引发围绕讨论主题的广泛的争鸣，并通过积极引导实现目标取向的共鸣。</w:t>
      </w:r>
    </w:p>
    <w:p w:rsidR="00481206" w:rsidRPr="00481206" w:rsidRDefault="00481206" w:rsidP="00481206">
      <w:pPr>
        <w:numPr>
          <w:ilvl w:val="0"/>
          <w:numId w:val="11"/>
        </w:numPr>
        <w:spacing w:line="360" w:lineRule="auto"/>
        <w:ind w:left="840"/>
        <w:rPr>
          <w:rFonts w:ascii="宋体" w:hAnsi="宋体" w:cs="宋体"/>
          <w:sz w:val="24"/>
        </w:rPr>
      </w:pPr>
      <w:r w:rsidRPr="00481206">
        <w:rPr>
          <w:rFonts w:ascii="宋体" w:hAnsi="宋体" w:cs="宋体" w:hint="eastAsia"/>
          <w:sz w:val="24"/>
        </w:rPr>
        <w:t>讨论主题的鲜明性。明确讨论的主题，明晰问题讨论的合理边界，并辅之以相关的导向性说明，实现讨论围绕主题，形散而神不散。</w:t>
      </w:r>
    </w:p>
    <w:p w:rsidR="00481206" w:rsidRPr="00481206" w:rsidRDefault="00481206" w:rsidP="00481206">
      <w:pPr>
        <w:numPr>
          <w:ilvl w:val="0"/>
          <w:numId w:val="11"/>
        </w:numPr>
        <w:spacing w:line="360" w:lineRule="auto"/>
        <w:ind w:left="840"/>
        <w:rPr>
          <w:rFonts w:ascii="宋体" w:hAnsi="宋体" w:cs="宋体"/>
          <w:sz w:val="24"/>
        </w:rPr>
      </w:pPr>
      <w:r w:rsidRPr="00481206">
        <w:rPr>
          <w:rFonts w:ascii="宋体" w:hAnsi="宋体" w:cs="宋体" w:hint="eastAsia"/>
          <w:sz w:val="24"/>
        </w:rPr>
        <w:t>讨论结果的确定性。做好讨论过程的引导和归纳，在不影响讨论积极性并保障足够自由度的同时，使对问题的讨论沿着规范的目标演进。</w:t>
      </w:r>
    </w:p>
    <w:p w:rsidR="00481206" w:rsidRPr="00481206" w:rsidRDefault="00481206" w:rsidP="00481206">
      <w:pPr>
        <w:pStyle w:val="3"/>
        <w:spacing w:before="0" w:after="0" w:line="360" w:lineRule="auto"/>
        <w:rPr>
          <w:rFonts w:ascii="宋体" w:hAnsi="宋体" w:cs="宋体"/>
          <w:sz w:val="28"/>
          <w:szCs w:val="28"/>
        </w:rPr>
      </w:pPr>
      <w:bookmarkStart w:id="813" w:name="_Toc403319300"/>
      <w:bookmarkStart w:id="814" w:name="_Toc28618"/>
      <w:bookmarkStart w:id="815" w:name="_Toc474271863"/>
      <w:r w:rsidRPr="00481206">
        <w:rPr>
          <w:rFonts w:ascii="宋体" w:hAnsi="宋体" w:cs="宋体" w:hint="eastAsia"/>
          <w:sz w:val="28"/>
          <w:szCs w:val="28"/>
        </w:rPr>
        <w:t>8.4课程实践的要求</w:t>
      </w:r>
      <w:bookmarkEnd w:id="813"/>
      <w:bookmarkEnd w:id="814"/>
      <w:bookmarkEnd w:id="815"/>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w:t>
      </w:r>
      <w:r w:rsidRPr="00481206">
        <w:rPr>
          <w:rFonts w:hint="eastAsia"/>
          <w:sz w:val="24"/>
        </w:rPr>
        <w:t>衍生金融产品概论</w:t>
      </w:r>
      <w:r w:rsidRPr="00481206">
        <w:rPr>
          <w:rFonts w:ascii="宋体" w:hAnsi="宋体" w:cs="宋体" w:hint="eastAsia"/>
          <w:sz w:val="24"/>
        </w:rPr>
        <w:t xml:space="preserve">》课程实践的基本要求为：培养理论到实践，实践再到理论的螺旋式上升的认知优化路径，探索理论与实践相互融合的多角化路径。基于对“实践”内涵的不同理解，本课程实践的具体要求包括： </w:t>
      </w:r>
    </w:p>
    <w:p w:rsidR="00481206" w:rsidRPr="00481206" w:rsidRDefault="00481206" w:rsidP="00481206">
      <w:pPr>
        <w:numPr>
          <w:ilvl w:val="0"/>
          <w:numId w:val="12"/>
        </w:numPr>
        <w:spacing w:line="360" w:lineRule="auto"/>
        <w:ind w:left="840"/>
        <w:rPr>
          <w:rFonts w:ascii="宋体" w:hAnsi="宋体" w:cs="宋体"/>
          <w:sz w:val="24"/>
        </w:rPr>
      </w:pPr>
      <w:r w:rsidRPr="00481206">
        <w:rPr>
          <w:rFonts w:ascii="宋体" w:hAnsi="宋体" w:cs="宋体" w:hint="eastAsia"/>
          <w:sz w:val="24"/>
        </w:rPr>
        <w:t>课堂讲授与理论研究在抽象意义上的匹配。这一层面的实践将在抽象意义上进行，在课堂讲授的基础上，学生通过自学及课外阅读，进行深入的相关理论知识的研究性实践，印证和深化理论认知，完善认知体系。</w:t>
      </w:r>
    </w:p>
    <w:p w:rsidR="00481206" w:rsidRPr="00481206" w:rsidRDefault="00481206" w:rsidP="00481206">
      <w:pPr>
        <w:numPr>
          <w:ilvl w:val="0"/>
          <w:numId w:val="12"/>
        </w:numPr>
        <w:spacing w:line="360" w:lineRule="auto"/>
        <w:ind w:left="840"/>
        <w:rPr>
          <w:rFonts w:ascii="宋体" w:hAnsi="宋体" w:cs="宋体"/>
          <w:sz w:val="24"/>
        </w:rPr>
      </w:pPr>
      <w:r w:rsidRPr="00481206">
        <w:rPr>
          <w:rFonts w:ascii="宋体" w:hAnsi="宋体" w:cs="宋体" w:hint="eastAsia"/>
          <w:sz w:val="24"/>
        </w:rPr>
        <w:t>按图索骥式的针对性经验实践。《</w:t>
      </w:r>
      <w:r w:rsidRPr="00481206">
        <w:rPr>
          <w:rFonts w:hint="eastAsia"/>
          <w:sz w:val="24"/>
        </w:rPr>
        <w:t>衍生金融产品概论</w:t>
      </w:r>
      <w:r w:rsidRPr="00481206">
        <w:rPr>
          <w:rFonts w:ascii="宋体" w:hAnsi="宋体" w:cs="宋体" w:hint="eastAsia"/>
          <w:sz w:val="24"/>
        </w:rPr>
        <w:t xml:space="preserve">》学科的特殊性，使得基于经验的实践检验方法成为可能。在有选择的理论知识范畴，提出课余经验实践的任务要求，让学生通过融入日常生活的经验实践来检验理论与实践联系的紧密性。    </w:t>
      </w:r>
    </w:p>
    <w:p w:rsidR="00481206" w:rsidRPr="00481206" w:rsidRDefault="00481206" w:rsidP="00481206">
      <w:pPr>
        <w:numPr>
          <w:ilvl w:val="0"/>
          <w:numId w:val="12"/>
        </w:numPr>
        <w:spacing w:line="360" w:lineRule="auto"/>
        <w:ind w:left="840"/>
        <w:rPr>
          <w:rFonts w:ascii="宋体" w:hAnsi="宋体" w:cs="宋体"/>
          <w:sz w:val="24"/>
        </w:rPr>
      </w:pPr>
      <w:r w:rsidRPr="00481206">
        <w:rPr>
          <w:rFonts w:ascii="宋体" w:hAnsi="宋体" w:cs="宋体" w:hint="eastAsia"/>
          <w:sz w:val="24"/>
        </w:rPr>
        <w:t>模拟实验条件下的主题性演练。在条件许可的情况下，可以考虑建立适用于《</w:t>
      </w:r>
      <w:r w:rsidRPr="00481206">
        <w:rPr>
          <w:rFonts w:hint="eastAsia"/>
          <w:sz w:val="24"/>
        </w:rPr>
        <w:t>衍生金融产品概论</w:t>
      </w:r>
      <w:r w:rsidRPr="00481206">
        <w:rPr>
          <w:rFonts w:ascii="宋体" w:hAnsi="宋体" w:cs="宋体" w:hint="eastAsia"/>
          <w:sz w:val="24"/>
        </w:rPr>
        <w:t>》课程教学的模拟软件，通过实验教学，用更为生动有趣的推演模型，将抽象的经济学理论与模型的介绍更直观地表现出来，从而加深学生</w:t>
      </w:r>
      <w:r w:rsidRPr="00481206">
        <w:rPr>
          <w:rFonts w:ascii="宋体" w:hAnsi="宋体" w:cs="宋体" w:hint="eastAsia"/>
          <w:sz w:val="24"/>
        </w:rPr>
        <w:lastRenderedPageBreak/>
        <w:t>对理论知识的理解，培养起模拟操作能力与动手能力。</w:t>
      </w:r>
    </w:p>
    <w:p w:rsidR="00481206" w:rsidRPr="00481206" w:rsidRDefault="00481206" w:rsidP="00481206">
      <w:pPr>
        <w:numPr>
          <w:ilvl w:val="0"/>
          <w:numId w:val="12"/>
        </w:numPr>
        <w:spacing w:line="360" w:lineRule="auto"/>
        <w:ind w:left="840"/>
        <w:rPr>
          <w:rFonts w:ascii="宋体" w:hAnsi="宋体" w:cs="宋体"/>
          <w:sz w:val="24"/>
        </w:rPr>
      </w:pPr>
      <w:r w:rsidRPr="00481206">
        <w:rPr>
          <w:rFonts w:ascii="宋体" w:hAnsi="宋体" w:cs="宋体" w:hint="eastAsia"/>
          <w:sz w:val="24"/>
        </w:rPr>
        <w:t>导向前提下的社会调查。对于系统化的规模化实践性较强的问题，通过设计专题讨论任务，向学生分配针对特定对象的社会调查任务，通过切实的调查、采集和处理经验材料，形成调查报告。这样一来，既能培养学生进行调查实践的能力熟悉有关方法的运用，又能巩固和提升其对专业知识的理解。</w:t>
      </w:r>
    </w:p>
    <w:p w:rsidR="00481206" w:rsidRPr="00481206" w:rsidRDefault="00481206" w:rsidP="00481206">
      <w:pPr>
        <w:pStyle w:val="2"/>
        <w:spacing w:before="0" w:after="0" w:line="360" w:lineRule="auto"/>
        <w:jc w:val="center"/>
        <w:rPr>
          <w:rFonts w:ascii="黑体" w:hAnsi="黑体" w:cs="宋体"/>
          <w:bCs w:val="0"/>
          <w:sz w:val="44"/>
          <w:szCs w:val="44"/>
        </w:rPr>
      </w:pPr>
      <w:r w:rsidRPr="00481206">
        <w:rPr>
          <w:rFonts w:ascii="宋体" w:hAnsi="宋体" w:cs="宋体" w:hint="eastAsia"/>
          <w:sz w:val="24"/>
        </w:rPr>
        <w:br w:type="page"/>
      </w:r>
      <w:bookmarkStart w:id="816" w:name="_Toc403319301"/>
      <w:bookmarkStart w:id="817" w:name="_Toc27952"/>
      <w:bookmarkStart w:id="818" w:name="_Toc16945"/>
      <w:bookmarkStart w:id="819" w:name="_Toc26813"/>
      <w:bookmarkStart w:id="820" w:name="_Toc474271864"/>
      <w:r w:rsidRPr="00481206">
        <w:rPr>
          <w:rFonts w:ascii="黑体" w:hAnsi="黑体" w:cs="宋体" w:hint="eastAsia"/>
          <w:bCs w:val="0"/>
          <w:sz w:val="44"/>
          <w:szCs w:val="44"/>
        </w:rPr>
        <w:lastRenderedPageBreak/>
        <w:t>9 课程考核方式及评分规程</w:t>
      </w:r>
      <w:bookmarkEnd w:id="816"/>
      <w:bookmarkEnd w:id="817"/>
      <w:bookmarkEnd w:id="818"/>
      <w:bookmarkEnd w:id="819"/>
      <w:bookmarkEnd w:id="820"/>
    </w:p>
    <w:p w:rsidR="00481206" w:rsidRPr="00481206" w:rsidRDefault="00481206" w:rsidP="00481206">
      <w:pPr>
        <w:pStyle w:val="3"/>
        <w:spacing w:before="0" w:after="0" w:line="360" w:lineRule="auto"/>
        <w:rPr>
          <w:rFonts w:ascii="宋体" w:hAnsi="宋体" w:cs="宋体"/>
          <w:sz w:val="28"/>
          <w:szCs w:val="28"/>
        </w:rPr>
      </w:pPr>
      <w:bookmarkStart w:id="821" w:name="_Toc403319302"/>
      <w:bookmarkStart w:id="822" w:name="_Toc19550"/>
      <w:bookmarkStart w:id="823" w:name="_Toc474271865"/>
      <w:r w:rsidRPr="00481206">
        <w:rPr>
          <w:rFonts w:ascii="宋体" w:hAnsi="宋体" w:hint="eastAsia"/>
          <w:sz w:val="28"/>
          <w:szCs w:val="28"/>
        </w:rPr>
        <w:t>9.1出勤（迟到</w:t>
      </w:r>
      <w:r w:rsidRPr="00481206">
        <w:rPr>
          <w:rFonts w:hint="eastAsia"/>
          <w:sz w:val="28"/>
          <w:szCs w:val="28"/>
        </w:rPr>
        <w:t>、早退等）、作业、报告的要求</w:t>
      </w:r>
      <w:bookmarkEnd w:id="821"/>
      <w:bookmarkEnd w:id="822"/>
      <w:bookmarkEnd w:id="823"/>
    </w:p>
    <w:p w:rsidR="00481206" w:rsidRPr="00481206" w:rsidRDefault="00481206" w:rsidP="00481206">
      <w:pPr>
        <w:spacing w:line="360" w:lineRule="auto"/>
        <w:ind w:firstLine="480"/>
        <w:rPr>
          <w:sz w:val="24"/>
        </w:rPr>
      </w:pPr>
      <w:bookmarkStart w:id="824" w:name="_Toc403319303"/>
      <w:bookmarkStart w:id="825" w:name="_Toc10404"/>
      <w:r w:rsidRPr="00481206">
        <w:rPr>
          <w:rFonts w:hint="eastAsia"/>
          <w:sz w:val="24"/>
        </w:rPr>
        <w:t>1</w:t>
      </w:r>
      <w:r w:rsidRPr="00481206">
        <w:rPr>
          <w:rFonts w:hint="eastAsia"/>
          <w:sz w:val="24"/>
        </w:rPr>
        <w:t>）准时上课、下课。</w:t>
      </w:r>
    </w:p>
    <w:p w:rsidR="00481206" w:rsidRPr="00481206" w:rsidRDefault="00481206" w:rsidP="00481206">
      <w:pPr>
        <w:spacing w:line="360" w:lineRule="auto"/>
        <w:ind w:firstLine="480"/>
        <w:rPr>
          <w:sz w:val="24"/>
        </w:rPr>
      </w:pPr>
      <w:r w:rsidRPr="00481206">
        <w:rPr>
          <w:rFonts w:hint="eastAsia"/>
          <w:sz w:val="24"/>
        </w:rPr>
        <w:t>2</w:t>
      </w:r>
      <w:r w:rsidRPr="00481206">
        <w:rPr>
          <w:rFonts w:hint="eastAsia"/>
          <w:sz w:val="24"/>
        </w:rPr>
        <w:t>）不得无故缺勤、旷课。</w:t>
      </w:r>
    </w:p>
    <w:p w:rsidR="00481206" w:rsidRPr="00481206" w:rsidRDefault="00481206" w:rsidP="00481206">
      <w:pPr>
        <w:spacing w:line="360" w:lineRule="auto"/>
        <w:ind w:firstLine="480"/>
        <w:rPr>
          <w:sz w:val="24"/>
        </w:rPr>
      </w:pPr>
      <w:r w:rsidRPr="00481206">
        <w:rPr>
          <w:rFonts w:hint="eastAsia"/>
          <w:sz w:val="24"/>
        </w:rPr>
        <w:t>3</w:t>
      </w:r>
      <w:r w:rsidRPr="00481206">
        <w:rPr>
          <w:rFonts w:hint="eastAsia"/>
          <w:sz w:val="24"/>
        </w:rPr>
        <w:t>）上课认真听讲、记笔记。</w:t>
      </w:r>
    </w:p>
    <w:p w:rsidR="00481206" w:rsidRPr="00481206" w:rsidRDefault="00481206" w:rsidP="00481206">
      <w:pPr>
        <w:spacing w:line="360" w:lineRule="auto"/>
        <w:ind w:firstLine="480"/>
        <w:rPr>
          <w:sz w:val="24"/>
        </w:rPr>
      </w:pPr>
      <w:r w:rsidRPr="00481206">
        <w:rPr>
          <w:rFonts w:hint="eastAsia"/>
          <w:sz w:val="24"/>
        </w:rPr>
        <w:t>4</w:t>
      </w:r>
      <w:r w:rsidRPr="00481206">
        <w:rPr>
          <w:rFonts w:hint="eastAsia"/>
          <w:sz w:val="24"/>
        </w:rPr>
        <w:t>）提前预习有关课程内容。</w:t>
      </w:r>
    </w:p>
    <w:p w:rsidR="00481206" w:rsidRPr="00481206" w:rsidRDefault="00481206" w:rsidP="00481206">
      <w:pPr>
        <w:spacing w:line="360" w:lineRule="auto"/>
        <w:ind w:firstLine="480"/>
        <w:rPr>
          <w:sz w:val="24"/>
        </w:rPr>
      </w:pPr>
      <w:r w:rsidRPr="00481206">
        <w:rPr>
          <w:rFonts w:hint="eastAsia"/>
          <w:sz w:val="24"/>
        </w:rPr>
        <w:t>5</w:t>
      </w:r>
      <w:r w:rsidRPr="00481206">
        <w:rPr>
          <w:rFonts w:hint="eastAsia"/>
          <w:sz w:val="24"/>
        </w:rPr>
        <w:t>）课后完成老师布置的作业。</w:t>
      </w:r>
    </w:p>
    <w:p w:rsidR="00481206" w:rsidRPr="00481206" w:rsidRDefault="00481206" w:rsidP="00481206">
      <w:pPr>
        <w:spacing w:line="360" w:lineRule="auto"/>
        <w:ind w:firstLine="480"/>
        <w:rPr>
          <w:sz w:val="24"/>
        </w:rPr>
      </w:pPr>
      <w:r w:rsidRPr="00481206">
        <w:rPr>
          <w:rFonts w:hint="eastAsia"/>
          <w:sz w:val="24"/>
        </w:rPr>
        <w:t>6</w:t>
      </w:r>
      <w:r w:rsidRPr="00481206">
        <w:rPr>
          <w:rFonts w:hint="eastAsia"/>
          <w:sz w:val="24"/>
        </w:rPr>
        <w:t>）遵守课堂纪律，不得干扰老师正常上课。</w:t>
      </w:r>
    </w:p>
    <w:p w:rsidR="00481206" w:rsidRPr="00481206" w:rsidRDefault="00481206" w:rsidP="00481206">
      <w:pPr>
        <w:spacing w:line="360" w:lineRule="auto"/>
        <w:ind w:firstLine="480"/>
        <w:rPr>
          <w:sz w:val="24"/>
        </w:rPr>
      </w:pPr>
      <w:r w:rsidRPr="00481206">
        <w:rPr>
          <w:rFonts w:hint="eastAsia"/>
          <w:sz w:val="24"/>
        </w:rPr>
        <w:t>7</w:t>
      </w:r>
      <w:r w:rsidRPr="00481206">
        <w:rPr>
          <w:rFonts w:hint="eastAsia"/>
          <w:sz w:val="24"/>
        </w:rPr>
        <w:t>）积极参与课堂讨论及互动过程。</w:t>
      </w:r>
    </w:p>
    <w:p w:rsidR="00481206" w:rsidRPr="00481206" w:rsidRDefault="00481206" w:rsidP="00481206">
      <w:pPr>
        <w:pStyle w:val="3"/>
        <w:spacing w:before="0" w:after="0" w:line="360" w:lineRule="auto"/>
        <w:rPr>
          <w:rFonts w:ascii="宋体" w:hAnsi="宋体" w:cs="宋体"/>
          <w:sz w:val="28"/>
          <w:szCs w:val="28"/>
        </w:rPr>
      </w:pPr>
      <w:bookmarkStart w:id="826" w:name="_Toc474271866"/>
      <w:r w:rsidRPr="00481206">
        <w:rPr>
          <w:rFonts w:ascii="宋体" w:hAnsi="宋体" w:cs="宋体" w:hint="eastAsia"/>
          <w:sz w:val="28"/>
          <w:szCs w:val="28"/>
        </w:rPr>
        <w:t>9.2成绩的构成与评分规则说明</w:t>
      </w:r>
      <w:bookmarkEnd w:id="824"/>
      <w:bookmarkEnd w:id="825"/>
      <w:bookmarkEnd w:id="826"/>
    </w:p>
    <w:p w:rsidR="00481206" w:rsidRPr="00481206" w:rsidRDefault="00481206" w:rsidP="00481206">
      <w:pPr>
        <w:spacing w:line="360" w:lineRule="auto"/>
        <w:ind w:leftChars="93" w:left="195" w:firstLineChars="100" w:firstLine="240"/>
        <w:rPr>
          <w:rFonts w:ascii="宋体" w:hAnsi="宋体"/>
          <w:sz w:val="24"/>
        </w:rPr>
      </w:pPr>
      <w:r w:rsidRPr="00481206">
        <w:rPr>
          <w:rFonts w:hint="eastAsia"/>
          <w:sz w:val="24"/>
        </w:rPr>
        <w:t>1</w:t>
      </w:r>
      <w:r w:rsidRPr="00481206">
        <w:rPr>
          <w:rFonts w:hint="eastAsia"/>
          <w:sz w:val="24"/>
        </w:rPr>
        <w:t>）</w:t>
      </w:r>
      <w:r w:rsidRPr="00481206">
        <w:rPr>
          <w:rFonts w:ascii="宋体" w:hAnsi="宋体" w:hint="eastAsia"/>
          <w:sz w:val="24"/>
        </w:rPr>
        <w:t>考试课成绩的构成与评分规则说明</w:t>
      </w:r>
    </w:p>
    <w:p w:rsidR="00481206" w:rsidRPr="00481206" w:rsidRDefault="00481206" w:rsidP="00481206">
      <w:pPr>
        <w:numPr>
          <w:ilvl w:val="0"/>
          <w:numId w:val="28"/>
        </w:numPr>
        <w:spacing w:line="360" w:lineRule="auto"/>
        <w:rPr>
          <w:rFonts w:ascii="宋体" w:hAnsi="宋体"/>
          <w:sz w:val="24"/>
        </w:rPr>
      </w:pPr>
      <w:r w:rsidRPr="00481206">
        <w:rPr>
          <w:rFonts w:ascii="宋体" w:hAnsi="宋体" w:hint="eastAsia"/>
          <w:sz w:val="24"/>
        </w:rPr>
        <w:t>本课程成绩的构成为：出勤（占10%）+平时成绩（占30%）+期末考试（占60%）</w:t>
      </w:r>
    </w:p>
    <w:p w:rsidR="00481206" w:rsidRPr="00481206" w:rsidRDefault="00481206" w:rsidP="00481206">
      <w:pPr>
        <w:numPr>
          <w:ilvl w:val="0"/>
          <w:numId w:val="28"/>
        </w:numPr>
        <w:spacing w:line="360" w:lineRule="auto"/>
        <w:rPr>
          <w:rFonts w:ascii="宋体" w:hAnsi="宋体"/>
          <w:sz w:val="24"/>
        </w:rPr>
      </w:pPr>
      <w:r w:rsidRPr="00481206">
        <w:rPr>
          <w:rFonts w:ascii="宋体" w:hAnsi="宋体" w:hint="eastAsia"/>
          <w:sz w:val="24"/>
        </w:rPr>
        <w:t>评分</w:t>
      </w:r>
      <w:r w:rsidRPr="00481206">
        <w:rPr>
          <w:rFonts w:ascii="宋体" w:hAnsi="宋体"/>
          <w:sz w:val="24"/>
        </w:rPr>
        <w:t>规</w:t>
      </w:r>
      <w:r w:rsidRPr="00481206">
        <w:rPr>
          <w:rFonts w:ascii="宋体" w:hAnsi="宋体" w:hint="eastAsia"/>
          <w:sz w:val="24"/>
        </w:rPr>
        <w:t>则说明</w:t>
      </w:r>
      <w:r w:rsidRPr="00481206">
        <w:rPr>
          <w:rFonts w:ascii="宋体" w:hAnsi="宋体"/>
          <w:sz w:val="24"/>
        </w:rPr>
        <w:t>：</w:t>
      </w:r>
    </w:p>
    <w:p w:rsidR="00481206" w:rsidRPr="00481206" w:rsidRDefault="00481206" w:rsidP="00481206">
      <w:pPr>
        <w:spacing w:line="360" w:lineRule="auto"/>
        <w:ind w:left="900"/>
        <w:rPr>
          <w:rFonts w:ascii="宋体" w:hAnsi="宋体"/>
          <w:sz w:val="24"/>
        </w:rPr>
      </w:pPr>
      <w:r w:rsidRPr="00481206">
        <w:rPr>
          <w:rFonts w:ascii="宋体" w:hAnsi="宋体" w:hint="eastAsia"/>
          <w:sz w:val="24"/>
        </w:rPr>
        <w:t>出勤分数方面：原则上有事请假不计入缺勤，无故早退两次算一次缺勤；缺勤一次扣2分，扣完为止。</w:t>
      </w:r>
    </w:p>
    <w:p w:rsidR="00481206" w:rsidRPr="00481206" w:rsidRDefault="00481206" w:rsidP="00481206">
      <w:pPr>
        <w:spacing w:line="360" w:lineRule="auto"/>
        <w:ind w:left="900"/>
        <w:rPr>
          <w:rFonts w:ascii="宋体" w:hAnsi="宋体"/>
          <w:sz w:val="24"/>
        </w:rPr>
      </w:pPr>
      <w:r w:rsidRPr="00481206">
        <w:rPr>
          <w:rFonts w:ascii="宋体" w:hAnsi="宋体" w:hint="eastAsia"/>
          <w:sz w:val="24"/>
        </w:rPr>
        <w:t>平时成绩：课堂讨论占10%；项目成绩占20%。其中，课堂讨论由各小组成员之间相互打分之后计入平均分；项目经理给本组队员打分；项目经理分数有两部分组成：一是，本组成员给项目经理打分后的平均分，占10%；二是任何教师根据该组完成的项目质量酌情给项目经理打分，占10%。</w:t>
      </w:r>
    </w:p>
    <w:p w:rsidR="00481206" w:rsidRPr="00481206" w:rsidRDefault="00481206" w:rsidP="00481206">
      <w:pPr>
        <w:spacing w:line="360" w:lineRule="auto"/>
        <w:ind w:left="900"/>
        <w:rPr>
          <w:rFonts w:ascii="宋体" w:hAnsi="宋体"/>
          <w:sz w:val="24"/>
        </w:rPr>
      </w:pPr>
      <w:r w:rsidRPr="00481206">
        <w:rPr>
          <w:rFonts w:ascii="宋体" w:hAnsi="宋体" w:hint="eastAsia"/>
          <w:sz w:val="24"/>
        </w:rPr>
        <w:t>期末考试(闭卷)成绩：试卷卷面分数100分；</w:t>
      </w:r>
    </w:p>
    <w:p w:rsidR="00481206" w:rsidRPr="00481206" w:rsidRDefault="00481206" w:rsidP="00481206">
      <w:pPr>
        <w:numPr>
          <w:ilvl w:val="0"/>
          <w:numId w:val="29"/>
        </w:numPr>
        <w:spacing w:line="360" w:lineRule="auto"/>
        <w:rPr>
          <w:rFonts w:ascii="宋体" w:hAnsi="宋体"/>
          <w:sz w:val="24"/>
        </w:rPr>
      </w:pPr>
      <w:r w:rsidRPr="00481206">
        <w:rPr>
          <w:rFonts w:ascii="宋体" w:hAnsi="宋体" w:hint="eastAsia"/>
          <w:sz w:val="24"/>
        </w:rPr>
        <w:t>考查课成绩的构成与评分规则说明</w:t>
      </w:r>
    </w:p>
    <w:p w:rsidR="00481206" w:rsidRPr="00481206" w:rsidRDefault="00481206" w:rsidP="00481206">
      <w:pPr>
        <w:numPr>
          <w:ilvl w:val="0"/>
          <w:numId w:val="28"/>
        </w:numPr>
        <w:spacing w:line="360" w:lineRule="auto"/>
        <w:rPr>
          <w:rFonts w:ascii="宋体" w:hAnsi="宋体"/>
          <w:sz w:val="24"/>
        </w:rPr>
      </w:pPr>
      <w:r w:rsidRPr="00481206">
        <w:rPr>
          <w:rFonts w:ascii="宋体" w:hAnsi="宋体" w:hint="eastAsia"/>
          <w:sz w:val="24"/>
        </w:rPr>
        <w:t>本课程成绩的构成为：出勤（占20%）+平时成绩（占30%）+</w:t>
      </w:r>
      <w:r w:rsidRPr="00481206">
        <w:rPr>
          <w:rFonts w:hint="eastAsia"/>
          <w:sz w:val="24"/>
        </w:rPr>
        <w:t>开卷随堂考试</w:t>
      </w:r>
      <w:r w:rsidRPr="00481206">
        <w:rPr>
          <w:rFonts w:ascii="宋体" w:hAnsi="宋体" w:hint="eastAsia"/>
          <w:sz w:val="24"/>
        </w:rPr>
        <w:t>（占50%）</w:t>
      </w:r>
    </w:p>
    <w:p w:rsidR="00481206" w:rsidRPr="00481206" w:rsidRDefault="00481206" w:rsidP="00481206">
      <w:pPr>
        <w:numPr>
          <w:ilvl w:val="0"/>
          <w:numId w:val="28"/>
        </w:numPr>
        <w:spacing w:line="360" w:lineRule="auto"/>
        <w:rPr>
          <w:rFonts w:ascii="宋体" w:hAnsi="宋体"/>
          <w:sz w:val="24"/>
        </w:rPr>
      </w:pPr>
      <w:r w:rsidRPr="00481206">
        <w:rPr>
          <w:rFonts w:ascii="宋体" w:hAnsi="宋体" w:hint="eastAsia"/>
          <w:sz w:val="24"/>
        </w:rPr>
        <w:t>评分</w:t>
      </w:r>
      <w:r w:rsidRPr="00481206">
        <w:rPr>
          <w:rFonts w:ascii="宋体" w:hAnsi="宋体"/>
          <w:sz w:val="24"/>
        </w:rPr>
        <w:t>规</w:t>
      </w:r>
      <w:r w:rsidRPr="00481206">
        <w:rPr>
          <w:rFonts w:ascii="宋体" w:hAnsi="宋体" w:hint="eastAsia"/>
          <w:sz w:val="24"/>
        </w:rPr>
        <w:t>则说明</w:t>
      </w:r>
      <w:r w:rsidRPr="00481206">
        <w:rPr>
          <w:rFonts w:ascii="宋体" w:hAnsi="宋体"/>
          <w:sz w:val="24"/>
        </w:rPr>
        <w:t>：</w:t>
      </w:r>
    </w:p>
    <w:p w:rsidR="00481206" w:rsidRPr="00481206" w:rsidRDefault="00481206" w:rsidP="00481206">
      <w:pPr>
        <w:spacing w:line="360" w:lineRule="auto"/>
        <w:ind w:left="900"/>
        <w:rPr>
          <w:rFonts w:ascii="宋体" w:hAnsi="宋体"/>
          <w:sz w:val="24"/>
        </w:rPr>
      </w:pPr>
      <w:r w:rsidRPr="00481206">
        <w:rPr>
          <w:rFonts w:ascii="宋体" w:hAnsi="宋体" w:hint="eastAsia"/>
          <w:sz w:val="24"/>
        </w:rPr>
        <w:t>出勤分数方面：原则上有事请假不计入缺勤，无故早退两次算一次缺勤；缺勤一次扣2分，扣完为止。</w:t>
      </w:r>
    </w:p>
    <w:p w:rsidR="00481206" w:rsidRPr="00481206" w:rsidRDefault="00481206" w:rsidP="00481206">
      <w:pPr>
        <w:spacing w:line="360" w:lineRule="auto"/>
        <w:ind w:left="900"/>
        <w:rPr>
          <w:rFonts w:ascii="宋体" w:hAnsi="宋体"/>
          <w:sz w:val="24"/>
        </w:rPr>
      </w:pPr>
      <w:r w:rsidRPr="00481206">
        <w:rPr>
          <w:rFonts w:ascii="宋体" w:hAnsi="宋体" w:hint="eastAsia"/>
          <w:sz w:val="24"/>
        </w:rPr>
        <w:t>平时成绩：课堂讨论占10%；项目成绩占20%。其中，课堂讨论由各小组成员之间相互打分之后计入平均分；项目经理给本组队员打分；项目经理分数有两部分组成：一是，本组成员给项目经理打分后的平均分，占10%；二是任何教师</w:t>
      </w:r>
      <w:r w:rsidRPr="00481206">
        <w:rPr>
          <w:rFonts w:ascii="宋体" w:hAnsi="宋体" w:hint="eastAsia"/>
          <w:sz w:val="24"/>
        </w:rPr>
        <w:lastRenderedPageBreak/>
        <w:t>根据该组完成的项目质量酌情给项目经理打分，占10%。</w:t>
      </w:r>
    </w:p>
    <w:p w:rsidR="00481206" w:rsidRPr="00481206" w:rsidRDefault="00481206" w:rsidP="00481206">
      <w:pPr>
        <w:spacing w:line="360" w:lineRule="auto"/>
        <w:ind w:left="900"/>
        <w:rPr>
          <w:rFonts w:ascii="宋体" w:hAnsi="宋体"/>
          <w:sz w:val="24"/>
        </w:rPr>
      </w:pPr>
      <w:r w:rsidRPr="00481206">
        <w:rPr>
          <w:rFonts w:hint="eastAsia"/>
          <w:sz w:val="24"/>
        </w:rPr>
        <w:t>开卷随堂考试</w:t>
      </w:r>
      <w:r w:rsidRPr="00481206">
        <w:rPr>
          <w:rFonts w:ascii="宋体" w:hAnsi="宋体" w:hint="eastAsia"/>
          <w:sz w:val="24"/>
        </w:rPr>
        <w:t>成绩：总分数100分；</w:t>
      </w:r>
    </w:p>
    <w:p w:rsidR="00481206" w:rsidRPr="00481206" w:rsidRDefault="00481206" w:rsidP="00481206">
      <w:pPr>
        <w:spacing w:line="360" w:lineRule="auto"/>
        <w:ind w:left="900"/>
        <w:rPr>
          <w:rFonts w:ascii="宋体" w:hAnsi="宋体"/>
          <w:sz w:val="24"/>
        </w:rPr>
      </w:pPr>
      <w:r w:rsidRPr="00481206">
        <w:rPr>
          <w:rFonts w:hint="eastAsia"/>
          <w:sz w:val="24"/>
        </w:rPr>
        <w:t>开卷随堂考试</w:t>
      </w:r>
      <w:r w:rsidRPr="00481206">
        <w:rPr>
          <w:rFonts w:ascii="宋体" w:hAnsi="宋体" w:hint="eastAsia"/>
          <w:sz w:val="24"/>
        </w:rPr>
        <w:t>要求:</w:t>
      </w:r>
      <w:r w:rsidRPr="00481206">
        <w:rPr>
          <w:rFonts w:hint="eastAsia"/>
          <w:sz w:val="24"/>
        </w:rPr>
        <w:t>必须按要求独立完成，可以携带参考书、笔记，不得用手机、平板电脑等电子设备。</w:t>
      </w:r>
    </w:p>
    <w:p w:rsidR="00481206" w:rsidRPr="00481206" w:rsidRDefault="00481206" w:rsidP="00481206">
      <w:pPr>
        <w:pStyle w:val="3"/>
        <w:spacing w:before="0" w:after="0" w:line="360" w:lineRule="auto"/>
        <w:rPr>
          <w:rFonts w:ascii="宋体" w:hAnsi="宋体" w:cs="宋体"/>
          <w:sz w:val="28"/>
          <w:szCs w:val="28"/>
        </w:rPr>
      </w:pPr>
      <w:bookmarkStart w:id="827" w:name="_Toc403319304"/>
      <w:bookmarkStart w:id="828" w:name="_Toc26252"/>
      <w:bookmarkStart w:id="829" w:name="_Toc474271867"/>
      <w:r w:rsidRPr="00481206">
        <w:rPr>
          <w:rFonts w:ascii="宋体" w:hAnsi="宋体" w:cs="宋体" w:hint="eastAsia"/>
          <w:sz w:val="28"/>
          <w:szCs w:val="28"/>
        </w:rPr>
        <w:t>9.3考试形式及说明（含补考）</w:t>
      </w:r>
      <w:bookmarkEnd w:id="827"/>
      <w:bookmarkEnd w:id="828"/>
      <w:bookmarkEnd w:id="829"/>
    </w:p>
    <w:p w:rsidR="00481206" w:rsidRPr="00481206" w:rsidRDefault="00481206" w:rsidP="00481206">
      <w:pPr>
        <w:spacing w:line="360" w:lineRule="auto"/>
        <w:ind w:leftChars="93" w:left="195" w:firstLineChars="200" w:firstLine="480"/>
        <w:rPr>
          <w:rFonts w:ascii="宋体" w:hAnsi="宋体"/>
          <w:sz w:val="24"/>
        </w:rPr>
      </w:pPr>
      <w:bookmarkStart w:id="830" w:name="_Toc403319305"/>
      <w:bookmarkStart w:id="831" w:name="_Toc13337"/>
      <w:bookmarkStart w:id="832" w:name="_Toc30444"/>
      <w:bookmarkStart w:id="833" w:name="_Toc23977"/>
      <w:r w:rsidRPr="00481206">
        <w:rPr>
          <w:rFonts w:hint="eastAsia"/>
          <w:sz w:val="24"/>
        </w:rPr>
        <w:t>1</w:t>
      </w:r>
      <w:r w:rsidRPr="00481206">
        <w:rPr>
          <w:rFonts w:hint="eastAsia"/>
          <w:sz w:val="24"/>
        </w:rPr>
        <w:t>）</w:t>
      </w:r>
      <w:r w:rsidRPr="00481206">
        <w:rPr>
          <w:rFonts w:ascii="宋体" w:hAnsi="宋体" w:hint="eastAsia"/>
          <w:sz w:val="24"/>
        </w:rPr>
        <w:t>考试课</w:t>
      </w:r>
    </w:p>
    <w:p w:rsidR="00481206" w:rsidRPr="00481206" w:rsidRDefault="00481206" w:rsidP="00481206">
      <w:pPr>
        <w:spacing w:line="360" w:lineRule="auto"/>
        <w:ind w:left="900"/>
        <w:rPr>
          <w:rFonts w:ascii="宋体" w:hAnsi="宋体"/>
          <w:sz w:val="24"/>
        </w:rPr>
      </w:pPr>
      <w:r w:rsidRPr="00481206">
        <w:rPr>
          <w:rFonts w:ascii="宋体" w:hAnsi="宋体" w:hint="eastAsia"/>
          <w:sz w:val="24"/>
        </w:rPr>
        <w:t>考试形式：根据学院规定考试。一般为闭卷考。</w:t>
      </w:r>
    </w:p>
    <w:p w:rsidR="00481206" w:rsidRPr="00481206" w:rsidRDefault="00481206" w:rsidP="00481206">
      <w:pPr>
        <w:spacing w:line="360" w:lineRule="auto"/>
        <w:ind w:firstLineChars="300" w:firstLine="720"/>
        <w:rPr>
          <w:rFonts w:ascii="宋体" w:hAnsi="宋体"/>
          <w:sz w:val="24"/>
        </w:rPr>
      </w:pPr>
      <w:r w:rsidRPr="00481206">
        <w:rPr>
          <w:rFonts w:ascii="宋体" w:hAnsi="宋体" w:hint="eastAsia"/>
          <w:sz w:val="24"/>
        </w:rPr>
        <w:t>2)考查课</w:t>
      </w:r>
    </w:p>
    <w:p w:rsidR="00481206" w:rsidRPr="00481206" w:rsidRDefault="00481206" w:rsidP="00481206">
      <w:pPr>
        <w:spacing w:line="360" w:lineRule="auto"/>
        <w:ind w:left="900"/>
        <w:rPr>
          <w:sz w:val="24"/>
        </w:rPr>
      </w:pPr>
      <w:r w:rsidRPr="00481206">
        <w:rPr>
          <w:rFonts w:ascii="宋体" w:hAnsi="宋体" w:hint="eastAsia"/>
          <w:sz w:val="24"/>
        </w:rPr>
        <w:t>考试形式：</w:t>
      </w:r>
      <w:r w:rsidRPr="00481206">
        <w:rPr>
          <w:rFonts w:hint="eastAsia"/>
          <w:sz w:val="24"/>
        </w:rPr>
        <w:t>开卷随堂考试</w:t>
      </w:r>
    </w:p>
    <w:p w:rsidR="00481206" w:rsidRPr="00481206" w:rsidRDefault="00481206" w:rsidP="00481206">
      <w:pPr>
        <w:spacing w:line="360" w:lineRule="auto"/>
        <w:ind w:left="900"/>
        <w:rPr>
          <w:sz w:val="24"/>
        </w:rPr>
      </w:pPr>
    </w:p>
    <w:p w:rsidR="00481206" w:rsidRPr="00481206" w:rsidRDefault="00481206" w:rsidP="00481206">
      <w:pPr>
        <w:spacing w:line="360" w:lineRule="auto"/>
        <w:ind w:left="900"/>
        <w:rPr>
          <w:sz w:val="24"/>
        </w:rPr>
      </w:pPr>
    </w:p>
    <w:p w:rsidR="00481206" w:rsidRPr="00481206" w:rsidRDefault="00481206" w:rsidP="00481206">
      <w:pPr>
        <w:spacing w:line="360" w:lineRule="auto"/>
        <w:ind w:left="900"/>
        <w:rPr>
          <w:sz w:val="24"/>
        </w:rPr>
      </w:pPr>
    </w:p>
    <w:p w:rsidR="00481206" w:rsidRPr="00481206" w:rsidRDefault="00481206" w:rsidP="00481206">
      <w:pPr>
        <w:spacing w:line="360" w:lineRule="auto"/>
        <w:ind w:left="900"/>
        <w:rPr>
          <w:sz w:val="24"/>
        </w:rPr>
      </w:pPr>
    </w:p>
    <w:p w:rsidR="00481206" w:rsidRPr="00481206" w:rsidRDefault="00481206" w:rsidP="00481206">
      <w:pPr>
        <w:spacing w:line="360" w:lineRule="auto"/>
        <w:ind w:left="900"/>
        <w:rPr>
          <w:sz w:val="24"/>
        </w:rPr>
      </w:pPr>
    </w:p>
    <w:p w:rsidR="00481206" w:rsidRPr="00481206" w:rsidRDefault="00481206" w:rsidP="00481206">
      <w:pPr>
        <w:spacing w:line="360" w:lineRule="auto"/>
        <w:ind w:left="900"/>
        <w:rPr>
          <w:sz w:val="24"/>
        </w:rPr>
      </w:pPr>
    </w:p>
    <w:p w:rsidR="00481206" w:rsidRPr="00481206" w:rsidRDefault="00481206" w:rsidP="00481206">
      <w:pPr>
        <w:spacing w:line="360" w:lineRule="auto"/>
        <w:ind w:left="900"/>
        <w:rPr>
          <w:sz w:val="24"/>
        </w:rPr>
      </w:pPr>
    </w:p>
    <w:p w:rsidR="00481206" w:rsidRPr="00481206" w:rsidRDefault="00481206" w:rsidP="00481206">
      <w:pPr>
        <w:spacing w:line="360" w:lineRule="auto"/>
        <w:ind w:left="900"/>
        <w:rPr>
          <w:sz w:val="24"/>
        </w:rPr>
      </w:pPr>
    </w:p>
    <w:p w:rsidR="00481206" w:rsidRPr="00481206" w:rsidRDefault="00481206" w:rsidP="00481206">
      <w:pPr>
        <w:spacing w:line="360" w:lineRule="auto"/>
        <w:ind w:left="900"/>
        <w:rPr>
          <w:sz w:val="24"/>
        </w:rPr>
      </w:pPr>
    </w:p>
    <w:p w:rsidR="00481206" w:rsidRPr="00481206" w:rsidRDefault="00481206" w:rsidP="00481206">
      <w:pPr>
        <w:spacing w:line="360" w:lineRule="auto"/>
        <w:ind w:left="900"/>
        <w:rPr>
          <w:sz w:val="24"/>
        </w:rPr>
      </w:pPr>
    </w:p>
    <w:p w:rsidR="00481206" w:rsidRPr="00481206" w:rsidRDefault="00481206" w:rsidP="00481206">
      <w:pPr>
        <w:spacing w:line="360" w:lineRule="auto"/>
        <w:ind w:left="900"/>
        <w:rPr>
          <w:sz w:val="24"/>
        </w:rPr>
      </w:pPr>
    </w:p>
    <w:p w:rsidR="00481206" w:rsidRPr="00481206" w:rsidRDefault="00481206" w:rsidP="00481206">
      <w:pPr>
        <w:spacing w:line="360" w:lineRule="auto"/>
        <w:ind w:left="900"/>
        <w:rPr>
          <w:sz w:val="24"/>
        </w:rPr>
      </w:pPr>
    </w:p>
    <w:p w:rsidR="00481206" w:rsidRPr="00481206" w:rsidRDefault="00481206" w:rsidP="00481206">
      <w:pPr>
        <w:spacing w:line="360" w:lineRule="auto"/>
        <w:ind w:left="900"/>
        <w:rPr>
          <w:sz w:val="24"/>
        </w:rPr>
      </w:pPr>
    </w:p>
    <w:p w:rsidR="00481206" w:rsidRPr="00481206" w:rsidRDefault="00481206" w:rsidP="00481206">
      <w:pPr>
        <w:spacing w:line="360" w:lineRule="auto"/>
        <w:ind w:left="900"/>
        <w:rPr>
          <w:sz w:val="24"/>
        </w:rPr>
      </w:pPr>
    </w:p>
    <w:p w:rsidR="00481206" w:rsidRPr="00481206" w:rsidRDefault="00481206" w:rsidP="00481206">
      <w:pPr>
        <w:spacing w:line="360" w:lineRule="auto"/>
        <w:ind w:left="900"/>
        <w:rPr>
          <w:sz w:val="24"/>
        </w:rPr>
      </w:pPr>
    </w:p>
    <w:p w:rsidR="00481206" w:rsidRPr="00481206" w:rsidRDefault="00481206" w:rsidP="00481206">
      <w:pPr>
        <w:spacing w:line="360" w:lineRule="auto"/>
        <w:ind w:left="900"/>
        <w:rPr>
          <w:sz w:val="24"/>
        </w:rPr>
      </w:pPr>
    </w:p>
    <w:p w:rsidR="00481206" w:rsidRPr="00481206" w:rsidRDefault="00481206" w:rsidP="00481206">
      <w:pPr>
        <w:spacing w:line="360" w:lineRule="auto"/>
        <w:ind w:left="900"/>
        <w:rPr>
          <w:sz w:val="24"/>
        </w:rPr>
      </w:pPr>
    </w:p>
    <w:p w:rsidR="00481206" w:rsidRPr="00481206" w:rsidRDefault="00481206" w:rsidP="00481206">
      <w:pPr>
        <w:spacing w:line="360" w:lineRule="auto"/>
        <w:ind w:left="900"/>
        <w:rPr>
          <w:sz w:val="24"/>
        </w:rPr>
      </w:pPr>
    </w:p>
    <w:p w:rsidR="00481206" w:rsidRPr="00481206" w:rsidRDefault="00481206" w:rsidP="00481206">
      <w:pPr>
        <w:spacing w:line="360" w:lineRule="auto"/>
        <w:ind w:left="900"/>
        <w:rPr>
          <w:sz w:val="24"/>
        </w:rPr>
      </w:pPr>
    </w:p>
    <w:p w:rsidR="00481206" w:rsidRPr="00481206" w:rsidRDefault="00481206" w:rsidP="00481206">
      <w:pPr>
        <w:spacing w:line="360" w:lineRule="auto"/>
        <w:ind w:left="900"/>
        <w:rPr>
          <w:rFonts w:ascii="宋体" w:hAnsi="宋体"/>
          <w:sz w:val="24"/>
        </w:rPr>
      </w:pPr>
    </w:p>
    <w:p w:rsidR="00481206" w:rsidRPr="00481206" w:rsidRDefault="00481206" w:rsidP="00481206">
      <w:pPr>
        <w:pStyle w:val="2"/>
        <w:spacing w:before="0" w:after="0" w:line="360" w:lineRule="auto"/>
        <w:jc w:val="center"/>
        <w:rPr>
          <w:rFonts w:ascii="黑体" w:hAnsi="黑体" w:cs="宋体"/>
          <w:sz w:val="44"/>
          <w:szCs w:val="24"/>
        </w:rPr>
      </w:pPr>
      <w:bookmarkStart w:id="834" w:name="_Toc474271868"/>
      <w:r w:rsidRPr="00481206">
        <w:rPr>
          <w:rFonts w:ascii="黑体" w:hAnsi="黑体" w:cs="宋体" w:hint="eastAsia"/>
          <w:sz w:val="44"/>
          <w:szCs w:val="44"/>
        </w:rPr>
        <w:lastRenderedPageBreak/>
        <w:t>10 学术诚信规定</w:t>
      </w:r>
      <w:bookmarkEnd w:id="830"/>
      <w:bookmarkEnd w:id="831"/>
      <w:bookmarkEnd w:id="832"/>
      <w:bookmarkEnd w:id="833"/>
      <w:bookmarkEnd w:id="834"/>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在课程教学实践中，学术不诚信集中表现为考试违规与作弊、杜撰数据与信息、学术剽窃等。</w:t>
      </w:r>
    </w:p>
    <w:p w:rsidR="00481206" w:rsidRPr="00481206" w:rsidRDefault="00481206" w:rsidP="00481206">
      <w:pPr>
        <w:pStyle w:val="3"/>
        <w:spacing w:before="0" w:after="0" w:line="360" w:lineRule="auto"/>
        <w:rPr>
          <w:rFonts w:ascii="宋体" w:hAnsi="宋体" w:cs="宋体"/>
          <w:sz w:val="28"/>
          <w:szCs w:val="28"/>
        </w:rPr>
      </w:pPr>
      <w:bookmarkStart w:id="835" w:name="_Toc403319306"/>
      <w:bookmarkStart w:id="836" w:name="_Toc30548"/>
      <w:bookmarkStart w:id="837" w:name="_Toc474271869"/>
      <w:r w:rsidRPr="00481206">
        <w:rPr>
          <w:rFonts w:ascii="宋体" w:hAnsi="宋体" w:cs="宋体" w:hint="eastAsia"/>
          <w:sz w:val="28"/>
          <w:szCs w:val="28"/>
        </w:rPr>
        <w:t>10.1考试违规与作弊</w:t>
      </w:r>
      <w:bookmarkEnd w:id="835"/>
      <w:bookmarkEnd w:id="836"/>
      <w:bookmarkEnd w:id="837"/>
    </w:p>
    <w:p w:rsidR="00481206" w:rsidRPr="00481206" w:rsidRDefault="00481206" w:rsidP="00481206">
      <w:pPr>
        <w:spacing w:line="360" w:lineRule="auto"/>
        <w:ind w:firstLineChars="200" w:firstLine="480"/>
        <w:rPr>
          <w:rFonts w:ascii="宋体" w:hAnsi="宋体"/>
          <w:sz w:val="24"/>
        </w:rPr>
      </w:pPr>
      <w:bookmarkStart w:id="838" w:name="_Toc403319307"/>
      <w:bookmarkStart w:id="839" w:name="_Toc9455"/>
      <w:r w:rsidRPr="00481206">
        <w:rPr>
          <w:rFonts w:hint="eastAsia"/>
          <w:sz w:val="24"/>
        </w:rPr>
        <w:t>考试违规与作弊按照四川理工学院相关规定执行。</w:t>
      </w:r>
    </w:p>
    <w:p w:rsidR="00481206" w:rsidRPr="00481206" w:rsidRDefault="00481206" w:rsidP="00481206">
      <w:pPr>
        <w:spacing w:line="360" w:lineRule="auto"/>
        <w:ind w:firstLineChars="200" w:firstLine="480"/>
        <w:rPr>
          <w:rFonts w:ascii="宋体" w:hAnsi="宋体"/>
          <w:sz w:val="24"/>
        </w:rPr>
      </w:pPr>
      <w:r w:rsidRPr="00481206">
        <w:rPr>
          <w:rFonts w:ascii="宋体" w:hAnsi="宋体" w:hint="eastAsia"/>
          <w:sz w:val="24"/>
        </w:rPr>
        <w:t>抄袭他人作业或协助他人抄袭作业均视同作弊行为，该次作业成绩为零分处理；最后的总结性课堂小测验作弊或协助他人作弊，均作为考试作弊处理，该门课程不及格。</w:t>
      </w:r>
    </w:p>
    <w:p w:rsidR="00481206" w:rsidRPr="00481206" w:rsidRDefault="00481206" w:rsidP="00481206">
      <w:pPr>
        <w:pStyle w:val="3"/>
        <w:spacing w:before="0" w:after="0" w:line="360" w:lineRule="auto"/>
        <w:rPr>
          <w:rFonts w:ascii="宋体" w:hAnsi="宋体" w:cs="宋体"/>
          <w:sz w:val="28"/>
          <w:szCs w:val="28"/>
        </w:rPr>
      </w:pPr>
      <w:bookmarkStart w:id="840" w:name="_Toc474271870"/>
      <w:r w:rsidRPr="00481206">
        <w:rPr>
          <w:rFonts w:ascii="宋体" w:hAnsi="宋体" w:cs="宋体" w:hint="eastAsia"/>
          <w:sz w:val="28"/>
          <w:szCs w:val="28"/>
        </w:rPr>
        <w:t>10.2杜撰数据、信息等</w:t>
      </w:r>
      <w:bookmarkEnd w:id="838"/>
      <w:bookmarkEnd w:id="839"/>
      <w:bookmarkEnd w:id="840"/>
    </w:p>
    <w:p w:rsidR="00481206" w:rsidRPr="00481206" w:rsidRDefault="00481206" w:rsidP="00481206">
      <w:pPr>
        <w:spacing w:line="360" w:lineRule="auto"/>
        <w:ind w:firstLine="480"/>
        <w:rPr>
          <w:sz w:val="24"/>
        </w:rPr>
      </w:pPr>
      <w:r w:rsidRPr="00481206">
        <w:rPr>
          <w:rFonts w:ascii="宋体" w:hAnsi="宋体" w:cs="宋体" w:hint="eastAsia"/>
          <w:kern w:val="0"/>
          <w:sz w:val="24"/>
        </w:rPr>
        <w:t>对于存在杜撰、篡改和编造数据行为的学生，按照《国家科技计划实施中科研不端行为处理办法（试行）》（中华人民共和国科学技术部令第11号）中第十一条规定，视其对社会造成影响程度进行处理，对未造成不良影响的人员，取消其相关项目以及追回所拨经费；对造成较大不良影响的人员，对其进行学术教育、通报批评；对造成严重不良影响的人员，进行记过、留校察看以及开除学籍的处罚。</w:t>
      </w:r>
    </w:p>
    <w:p w:rsidR="00481206" w:rsidRPr="00481206" w:rsidRDefault="00481206" w:rsidP="00481206">
      <w:pPr>
        <w:pStyle w:val="3"/>
        <w:spacing w:before="0" w:after="0" w:line="360" w:lineRule="auto"/>
        <w:rPr>
          <w:rFonts w:ascii="宋体" w:hAnsi="宋体" w:cs="宋体"/>
          <w:sz w:val="24"/>
          <w:szCs w:val="24"/>
        </w:rPr>
      </w:pPr>
      <w:bookmarkStart w:id="841" w:name="_Toc403319308"/>
      <w:bookmarkStart w:id="842" w:name="_Toc1391"/>
      <w:bookmarkStart w:id="843" w:name="_Toc474271871"/>
      <w:r w:rsidRPr="00481206">
        <w:rPr>
          <w:rFonts w:ascii="宋体" w:hAnsi="宋体" w:cs="宋体" w:hint="eastAsia"/>
          <w:sz w:val="28"/>
          <w:szCs w:val="28"/>
        </w:rPr>
        <w:t>10.3学术剽窃等</w:t>
      </w:r>
      <w:bookmarkEnd w:id="841"/>
      <w:bookmarkEnd w:id="842"/>
      <w:bookmarkEnd w:id="843"/>
    </w:p>
    <w:p w:rsidR="00481206" w:rsidRPr="00481206" w:rsidRDefault="00481206" w:rsidP="00481206">
      <w:pPr>
        <w:spacing w:line="360" w:lineRule="auto"/>
        <w:ind w:firstLine="495"/>
        <w:rPr>
          <w:rFonts w:ascii="宋体" w:hAnsi="宋体" w:cs="宋体"/>
          <w:kern w:val="0"/>
          <w:sz w:val="24"/>
        </w:rPr>
      </w:pPr>
      <w:bookmarkStart w:id="844" w:name="_Toc403319309"/>
      <w:bookmarkStart w:id="845" w:name="_Toc31336"/>
      <w:bookmarkStart w:id="846" w:name="_Toc25065"/>
      <w:bookmarkStart w:id="847" w:name="_Toc27259"/>
      <w:r w:rsidRPr="00481206">
        <w:rPr>
          <w:rFonts w:ascii="宋体" w:hAnsi="宋体" w:cs="宋体" w:hint="eastAsia"/>
          <w:kern w:val="0"/>
          <w:sz w:val="24"/>
        </w:rPr>
        <w:t>对于存在学术剽窃行为的学生，按照《四川理工学院科研行为规范及管理办法》（[2013]58号文）中第三十三、三十四、三十五条的规定，进行相应处理，视情节严重程度分别给予警告、记过、开除学籍的处分，凡违反学术行为规范并受到处理者，在三年内的项目申报、成果申报、评选先进等方面实行一票否决。</w:t>
      </w:r>
    </w:p>
    <w:p w:rsidR="00481206" w:rsidRPr="00481206" w:rsidRDefault="00481206" w:rsidP="00481206">
      <w:pPr>
        <w:spacing w:line="360" w:lineRule="auto"/>
        <w:ind w:firstLine="495"/>
        <w:rPr>
          <w:rFonts w:ascii="宋体" w:hAnsi="宋体" w:cs="宋体"/>
          <w:kern w:val="0"/>
          <w:sz w:val="24"/>
        </w:rPr>
      </w:pPr>
    </w:p>
    <w:p w:rsidR="00481206" w:rsidRPr="00481206" w:rsidRDefault="00481206" w:rsidP="00481206">
      <w:pPr>
        <w:spacing w:line="360" w:lineRule="auto"/>
        <w:ind w:firstLine="495"/>
        <w:rPr>
          <w:rFonts w:ascii="宋体" w:hAnsi="宋体" w:cs="宋体"/>
          <w:kern w:val="0"/>
          <w:sz w:val="24"/>
        </w:rPr>
      </w:pPr>
    </w:p>
    <w:p w:rsidR="00481206" w:rsidRPr="00481206" w:rsidRDefault="00481206" w:rsidP="00481206">
      <w:pPr>
        <w:spacing w:line="360" w:lineRule="auto"/>
        <w:ind w:firstLine="495"/>
        <w:rPr>
          <w:rFonts w:ascii="宋体" w:hAnsi="宋体" w:cs="宋体"/>
          <w:kern w:val="0"/>
          <w:sz w:val="24"/>
        </w:rPr>
      </w:pPr>
    </w:p>
    <w:p w:rsidR="00481206" w:rsidRPr="00481206" w:rsidRDefault="00481206" w:rsidP="00481206">
      <w:pPr>
        <w:spacing w:line="360" w:lineRule="auto"/>
        <w:ind w:firstLine="495"/>
        <w:rPr>
          <w:rFonts w:ascii="宋体" w:hAnsi="宋体" w:cs="宋体"/>
          <w:kern w:val="0"/>
          <w:sz w:val="24"/>
        </w:rPr>
      </w:pPr>
    </w:p>
    <w:p w:rsidR="00481206" w:rsidRPr="00481206" w:rsidRDefault="00481206" w:rsidP="00481206">
      <w:pPr>
        <w:spacing w:line="360" w:lineRule="auto"/>
        <w:ind w:firstLine="495"/>
        <w:rPr>
          <w:rFonts w:ascii="宋体" w:hAnsi="宋体" w:cs="宋体"/>
          <w:kern w:val="0"/>
          <w:sz w:val="24"/>
        </w:rPr>
      </w:pPr>
    </w:p>
    <w:p w:rsidR="00481206" w:rsidRPr="00481206" w:rsidRDefault="00481206" w:rsidP="00481206">
      <w:pPr>
        <w:spacing w:line="360" w:lineRule="auto"/>
        <w:ind w:firstLine="495"/>
        <w:rPr>
          <w:rFonts w:ascii="宋体" w:hAnsi="宋体" w:cs="宋体"/>
          <w:kern w:val="0"/>
          <w:sz w:val="24"/>
        </w:rPr>
      </w:pPr>
    </w:p>
    <w:p w:rsidR="00481206" w:rsidRPr="00481206" w:rsidRDefault="00481206" w:rsidP="00481206">
      <w:pPr>
        <w:spacing w:line="360" w:lineRule="auto"/>
        <w:ind w:firstLine="495"/>
        <w:rPr>
          <w:rFonts w:ascii="宋体" w:hAnsi="宋体" w:cs="宋体"/>
          <w:kern w:val="0"/>
          <w:sz w:val="24"/>
        </w:rPr>
      </w:pPr>
    </w:p>
    <w:p w:rsidR="00481206" w:rsidRPr="00481206" w:rsidRDefault="00481206" w:rsidP="00481206">
      <w:pPr>
        <w:spacing w:line="360" w:lineRule="auto"/>
        <w:ind w:firstLine="495"/>
        <w:rPr>
          <w:rFonts w:ascii="宋体" w:hAnsi="宋体" w:cs="宋体"/>
          <w:kern w:val="0"/>
          <w:sz w:val="24"/>
        </w:rPr>
      </w:pPr>
    </w:p>
    <w:p w:rsidR="00481206" w:rsidRPr="00481206" w:rsidRDefault="00481206" w:rsidP="00481206">
      <w:pPr>
        <w:spacing w:line="360" w:lineRule="auto"/>
        <w:ind w:firstLine="495"/>
        <w:rPr>
          <w:rFonts w:ascii="宋体" w:hAnsi="宋体" w:cs="宋体"/>
          <w:kern w:val="0"/>
          <w:sz w:val="24"/>
        </w:rPr>
      </w:pPr>
    </w:p>
    <w:p w:rsidR="00481206" w:rsidRPr="00481206" w:rsidRDefault="00481206" w:rsidP="00481206">
      <w:pPr>
        <w:spacing w:line="360" w:lineRule="auto"/>
        <w:ind w:firstLine="495"/>
        <w:rPr>
          <w:rFonts w:ascii="宋体" w:hAnsi="宋体" w:cs="宋体"/>
          <w:kern w:val="0"/>
          <w:sz w:val="24"/>
        </w:rPr>
      </w:pPr>
    </w:p>
    <w:p w:rsidR="00481206" w:rsidRPr="00481206" w:rsidRDefault="00481206" w:rsidP="00481206">
      <w:pPr>
        <w:pStyle w:val="2"/>
        <w:spacing w:before="0" w:after="0" w:line="360" w:lineRule="auto"/>
        <w:jc w:val="center"/>
        <w:rPr>
          <w:rFonts w:ascii="黑体" w:hAnsi="黑体" w:cs="宋体"/>
          <w:sz w:val="44"/>
          <w:szCs w:val="44"/>
        </w:rPr>
      </w:pPr>
      <w:bookmarkStart w:id="848" w:name="_Toc474271872"/>
      <w:r w:rsidRPr="00481206">
        <w:rPr>
          <w:rFonts w:ascii="黑体" w:hAnsi="黑体" w:cs="宋体" w:hint="eastAsia"/>
          <w:sz w:val="44"/>
          <w:szCs w:val="44"/>
        </w:rPr>
        <w:lastRenderedPageBreak/>
        <w:t>11 课堂规范</w:t>
      </w:r>
      <w:bookmarkEnd w:id="844"/>
      <w:bookmarkEnd w:id="845"/>
      <w:bookmarkEnd w:id="846"/>
      <w:bookmarkEnd w:id="847"/>
      <w:bookmarkEnd w:id="848"/>
    </w:p>
    <w:p w:rsidR="00481206" w:rsidRPr="00481206" w:rsidRDefault="00481206" w:rsidP="00481206">
      <w:pPr>
        <w:pStyle w:val="3"/>
        <w:spacing w:before="0" w:after="0" w:line="360" w:lineRule="auto"/>
        <w:rPr>
          <w:rFonts w:ascii="宋体" w:hAnsi="宋体" w:cs="宋体"/>
          <w:sz w:val="28"/>
          <w:szCs w:val="28"/>
        </w:rPr>
      </w:pPr>
      <w:bookmarkStart w:id="849" w:name="_Toc403319310"/>
      <w:bookmarkStart w:id="850" w:name="_Toc8383"/>
      <w:bookmarkStart w:id="851" w:name="_Toc474271873"/>
      <w:r w:rsidRPr="00481206">
        <w:rPr>
          <w:rFonts w:ascii="宋体" w:hAnsi="宋体" w:cs="宋体" w:hint="eastAsia"/>
          <w:sz w:val="24"/>
          <w:szCs w:val="24"/>
        </w:rPr>
        <w:t>1</w:t>
      </w:r>
      <w:r w:rsidRPr="00481206">
        <w:rPr>
          <w:rFonts w:ascii="宋体" w:hAnsi="宋体" w:cs="宋体" w:hint="eastAsia"/>
          <w:sz w:val="28"/>
          <w:szCs w:val="28"/>
        </w:rPr>
        <w:t>1.1课堂纪律</w:t>
      </w:r>
      <w:bookmarkEnd w:id="849"/>
      <w:bookmarkEnd w:id="850"/>
      <w:bookmarkEnd w:id="851"/>
    </w:p>
    <w:p w:rsidR="00481206" w:rsidRPr="00481206" w:rsidRDefault="00481206" w:rsidP="00481206">
      <w:pPr>
        <w:spacing w:line="360" w:lineRule="auto"/>
        <w:ind w:firstLine="480"/>
        <w:rPr>
          <w:sz w:val="24"/>
        </w:rPr>
      </w:pPr>
      <w:bookmarkStart w:id="852" w:name="_Toc403319311"/>
      <w:bookmarkStart w:id="853" w:name="_Toc999"/>
      <w:r w:rsidRPr="00481206">
        <w:rPr>
          <w:rFonts w:hint="eastAsia"/>
          <w:sz w:val="24"/>
        </w:rPr>
        <w:t>1</w:t>
      </w:r>
      <w:r w:rsidRPr="00481206">
        <w:rPr>
          <w:rFonts w:hint="eastAsia"/>
          <w:sz w:val="24"/>
        </w:rPr>
        <w:t>）上课期间，不准说话、喧哗、起哄、讨论无课堂教学无关的内容，如果想表达、讨论与课程教学有关的观点、见解、质疑等，应向老师举手请示。</w:t>
      </w:r>
    </w:p>
    <w:p w:rsidR="00481206" w:rsidRPr="00481206" w:rsidRDefault="00481206" w:rsidP="00481206">
      <w:pPr>
        <w:spacing w:line="360" w:lineRule="auto"/>
        <w:ind w:firstLine="480"/>
        <w:rPr>
          <w:sz w:val="24"/>
        </w:rPr>
      </w:pPr>
      <w:r w:rsidRPr="00481206">
        <w:rPr>
          <w:rFonts w:hint="eastAsia"/>
          <w:sz w:val="24"/>
        </w:rPr>
        <w:t>2</w:t>
      </w:r>
      <w:r w:rsidRPr="00481206">
        <w:rPr>
          <w:rFonts w:hint="eastAsia"/>
          <w:sz w:val="24"/>
        </w:rPr>
        <w:t>）上课期间，未经老师许可，不得随意离开教室。</w:t>
      </w:r>
    </w:p>
    <w:p w:rsidR="00481206" w:rsidRPr="00481206" w:rsidRDefault="00481206" w:rsidP="00481206">
      <w:pPr>
        <w:spacing w:line="360" w:lineRule="auto"/>
        <w:ind w:firstLine="480"/>
        <w:rPr>
          <w:sz w:val="24"/>
        </w:rPr>
      </w:pPr>
      <w:r w:rsidRPr="00481206">
        <w:rPr>
          <w:rFonts w:hint="eastAsia"/>
          <w:sz w:val="24"/>
        </w:rPr>
        <w:t>3</w:t>
      </w:r>
      <w:r w:rsidRPr="00481206">
        <w:rPr>
          <w:rFonts w:hint="eastAsia"/>
          <w:sz w:val="24"/>
        </w:rPr>
        <w:t>）上课期间，不得玩手机、玩平板电脑、看小说、睡觉、开小差等。</w:t>
      </w:r>
    </w:p>
    <w:p w:rsidR="00481206" w:rsidRPr="00481206" w:rsidRDefault="00481206" w:rsidP="00481206">
      <w:pPr>
        <w:spacing w:line="360" w:lineRule="auto"/>
        <w:ind w:firstLine="480"/>
        <w:rPr>
          <w:sz w:val="24"/>
        </w:rPr>
      </w:pPr>
      <w:r w:rsidRPr="00481206">
        <w:rPr>
          <w:rFonts w:hint="eastAsia"/>
          <w:sz w:val="24"/>
        </w:rPr>
        <w:t>4</w:t>
      </w:r>
      <w:r w:rsidRPr="00481206">
        <w:rPr>
          <w:rFonts w:hint="eastAsia"/>
          <w:sz w:val="24"/>
        </w:rPr>
        <w:t>）不得影响他人的学习。</w:t>
      </w:r>
    </w:p>
    <w:p w:rsidR="00481206" w:rsidRPr="00481206" w:rsidRDefault="00481206" w:rsidP="00481206">
      <w:pPr>
        <w:spacing w:line="360" w:lineRule="auto"/>
        <w:ind w:firstLine="480"/>
        <w:rPr>
          <w:sz w:val="24"/>
        </w:rPr>
      </w:pPr>
      <w:r w:rsidRPr="00481206">
        <w:rPr>
          <w:rFonts w:hint="eastAsia"/>
          <w:sz w:val="24"/>
        </w:rPr>
        <w:t>5</w:t>
      </w:r>
      <w:r w:rsidRPr="00481206">
        <w:rPr>
          <w:rFonts w:hint="eastAsia"/>
          <w:sz w:val="24"/>
        </w:rPr>
        <w:t>）应认真听讲、认真记笔记、积极参与课堂讨论、积极回答问题。</w:t>
      </w:r>
    </w:p>
    <w:p w:rsidR="00481206" w:rsidRPr="00481206" w:rsidRDefault="00481206" w:rsidP="00481206">
      <w:pPr>
        <w:spacing w:line="360" w:lineRule="auto"/>
        <w:ind w:firstLine="480"/>
        <w:rPr>
          <w:sz w:val="24"/>
        </w:rPr>
      </w:pPr>
      <w:r w:rsidRPr="00481206">
        <w:rPr>
          <w:rFonts w:hint="eastAsia"/>
          <w:sz w:val="24"/>
        </w:rPr>
        <w:t>6</w:t>
      </w:r>
      <w:r w:rsidRPr="00481206">
        <w:rPr>
          <w:rFonts w:hint="eastAsia"/>
          <w:sz w:val="24"/>
        </w:rPr>
        <w:t>）课堂讨论问题，应说话得体，文明用语，不得进行人身攻击、恶意挖苦讽刺，应听从老师的指挥。</w:t>
      </w:r>
    </w:p>
    <w:p w:rsidR="00481206" w:rsidRPr="00481206" w:rsidRDefault="00481206" w:rsidP="00481206">
      <w:pPr>
        <w:spacing w:line="360" w:lineRule="auto"/>
        <w:ind w:firstLine="480"/>
        <w:rPr>
          <w:sz w:val="24"/>
        </w:rPr>
      </w:pPr>
      <w:r w:rsidRPr="00481206">
        <w:rPr>
          <w:rFonts w:hint="eastAsia"/>
          <w:sz w:val="24"/>
        </w:rPr>
        <w:t>7</w:t>
      </w:r>
      <w:r w:rsidRPr="00481206">
        <w:rPr>
          <w:rFonts w:hint="eastAsia"/>
          <w:sz w:val="24"/>
        </w:rPr>
        <w:t>）应树立积极健康向上的心态，传播正能量。</w:t>
      </w:r>
    </w:p>
    <w:p w:rsidR="00481206" w:rsidRPr="00481206" w:rsidRDefault="00481206" w:rsidP="00481206">
      <w:pPr>
        <w:spacing w:line="360" w:lineRule="auto"/>
        <w:ind w:firstLine="480"/>
        <w:rPr>
          <w:sz w:val="24"/>
        </w:rPr>
      </w:pPr>
      <w:r w:rsidRPr="00481206">
        <w:rPr>
          <w:rFonts w:hint="eastAsia"/>
          <w:sz w:val="24"/>
        </w:rPr>
        <w:t>8</w:t>
      </w:r>
      <w:r w:rsidRPr="00481206">
        <w:rPr>
          <w:rFonts w:hint="eastAsia"/>
          <w:sz w:val="24"/>
        </w:rPr>
        <w:t>）不得宣传、散步违反法律法规的思想和理念，反对邪教、反对分裂、反对抹黑党和国家的言行。</w:t>
      </w:r>
    </w:p>
    <w:p w:rsidR="00481206" w:rsidRPr="00481206" w:rsidRDefault="00481206" w:rsidP="00481206">
      <w:pPr>
        <w:pStyle w:val="3"/>
        <w:spacing w:before="0" w:after="0" w:line="360" w:lineRule="auto"/>
        <w:rPr>
          <w:rFonts w:ascii="宋体" w:hAnsi="宋体" w:cs="宋体"/>
          <w:sz w:val="28"/>
          <w:szCs w:val="28"/>
        </w:rPr>
      </w:pPr>
      <w:bookmarkStart w:id="854" w:name="_Toc474271874"/>
      <w:r w:rsidRPr="00481206">
        <w:rPr>
          <w:rFonts w:ascii="宋体" w:hAnsi="宋体" w:cs="宋体" w:hint="eastAsia"/>
          <w:sz w:val="28"/>
          <w:szCs w:val="28"/>
        </w:rPr>
        <w:t>11.2课堂礼仪</w:t>
      </w:r>
      <w:bookmarkEnd w:id="852"/>
      <w:bookmarkEnd w:id="853"/>
      <w:bookmarkEnd w:id="854"/>
    </w:p>
    <w:p w:rsidR="00481206" w:rsidRPr="00481206" w:rsidRDefault="00481206" w:rsidP="00481206">
      <w:pPr>
        <w:spacing w:line="360" w:lineRule="auto"/>
        <w:ind w:firstLineChars="200" w:firstLine="480"/>
        <w:rPr>
          <w:sz w:val="24"/>
        </w:rPr>
      </w:pPr>
      <w:bookmarkStart w:id="855" w:name="_Toc403319312"/>
      <w:bookmarkStart w:id="856" w:name="_Toc26133"/>
      <w:bookmarkStart w:id="857" w:name="_Toc28438"/>
      <w:bookmarkStart w:id="858" w:name="_Toc31541"/>
      <w:r w:rsidRPr="00481206">
        <w:rPr>
          <w:rFonts w:hint="eastAsia"/>
          <w:sz w:val="24"/>
        </w:rPr>
        <w:t>1</w:t>
      </w:r>
      <w:r w:rsidRPr="00481206">
        <w:rPr>
          <w:rFonts w:hint="eastAsia"/>
          <w:sz w:val="24"/>
        </w:rPr>
        <w:t>）不可穿奇装异服，不能穿拖鞋、高跟鞋、无袖背心、短裤进入教室，发饰颜色及式样不可过于夸张。</w:t>
      </w:r>
    </w:p>
    <w:p w:rsidR="00481206" w:rsidRPr="00481206" w:rsidRDefault="00481206" w:rsidP="00481206">
      <w:pPr>
        <w:spacing w:line="360" w:lineRule="auto"/>
        <w:ind w:firstLine="480"/>
        <w:rPr>
          <w:sz w:val="24"/>
        </w:rPr>
      </w:pPr>
      <w:r w:rsidRPr="00481206">
        <w:rPr>
          <w:rFonts w:hint="eastAsia"/>
          <w:sz w:val="24"/>
        </w:rPr>
        <w:t>2</w:t>
      </w:r>
      <w:r w:rsidRPr="00481206">
        <w:rPr>
          <w:rFonts w:hint="eastAsia"/>
          <w:sz w:val="24"/>
        </w:rPr>
        <w:t>）进入座位、落座、起立等环节应干净利索、讲究秩序，不可发出噪音影响他人。</w:t>
      </w:r>
    </w:p>
    <w:p w:rsidR="00481206" w:rsidRPr="00481206" w:rsidRDefault="00481206" w:rsidP="00481206">
      <w:pPr>
        <w:spacing w:line="360" w:lineRule="auto"/>
        <w:ind w:firstLine="480"/>
        <w:rPr>
          <w:sz w:val="24"/>
        </w:rPr>
      </w:pPr>
      <w:r w:rsidRPr="00481206">
        <w:rPr>
          <w:rFonts w:hint="eastAsia"/>
          <w:sz w:val="24"/>
        </w:rPr>
        <w:t>3</w:t>
      </w:r>
      <w:r w:rsidRPr="00481206">
        <w:rPr>
          <w:rFonts w:hint="eastAsia"/>
          <w:sz w:val="24"/>
        </w:rPr>
        <w:t>）应提前进入教室，上课期间不得无故离开教室。</w:t>
      </w:r>
    </w:p>
    <w:p w:rsidR="00481206" w:rsidRPr="00481206" w:rsidRDefault="00481206" w:rsidP="00481206">
      <w:pPr>
        <w:spacing w:line="360" w:lineRule="auto"/>
        <w:ind w:firstLine="480"/>
        <w:rPr>
          <w:sz w:val="24"/>
        </w:rPr>
      </w:pPr>
      <w:r w:rsidRPr="00481206">
        <w:rPr>
          <w:rFonts w:hint="eastAsia"/>
          <w:sz w:val="24"/>
        </w:rPr>
        <w:t>4</w:t>
      </w:r>
      <w:r w:rsidRPr="00481206">
        <w:rPr>
          <w:rFonts w:hint="eastAsia"/>
          <w:sz w:val="24"/>
        </w:rPr>
        <w:t>）不得将食品带入教室，不得在教室吃各类食品，饮水除外。</w:t>
      </w:r>
    </w:p>
    <w:p w:rsidR="00481206" w:rsidRPr="00481206" w:rsidRDefault="00481206" w:rsidP="00481206">
      <w:pPr>
        <w:spacing w:line="360" w:lineRule="auto"/>
        <w:ind w:firstLine="480"/>
        <w:rPr>
          <w:sz w:val="24"/>
        </w:rPr>
      </w:pPr>
      <w:r w:rsidRPr="00481206">
        <w:rPr>
          <w:rFonts w:hint="eastAsia"/>
          <w:sz w:val="24"/>
        </w:rPr>
        <w:t>5</w:t>
      </w:r>
      <w:r w:rsidRPr="00481206">
        <w:rPr>
          <w:rFonts w:hint="eastAsia"/>
          <w:sz w:val="24"/>
        </w:rPr>
        <w:t>）上课期间，应注意力集中，适度严肃，思路活跃，与老师讲课内容与进度保持同步。</w:t>
      </w:r>
    </w:p>
    <w:p w:rsidR="00481206" w:rsidRPr="00481206" w:rsidRDefault="00481206" w:rsidP="00481206">
      <w:pPr>
        <w:spacing w:line="360" w:lineRule="auto"/>
        <w:ind w:firstLine="480"/>
        <w:rPr>
          <w:sz w:val="24"/>
        </w:rPr>
      </w:pPr>
      <w:r w:rsidRPr="00481206">
        <w:rPr>
          <w:rFonts w:hint="eastAsia"/>
          <w:sz w:val="24"/>
        </w:rPr>
        <w:t>6</w:t>
      </w:r>
      <w:r w:rsidRPr="00481206">
        <w:rPr>
          <w:rFonts w:hint="eastAsia"/>
          <w:sz w:val="24"/>
        </w:rPr>
        <w:t>）遇到各种问题、要求应举手向老师请示。</w:t>
      </w:r>
    </w:p>
    <w:p w:rsidR="00481206" w:rsidRPr="00481206" w:rsidRDefault="00481206" w:rsidP="00481206">
      <w:pPr>
        <w:spacing w:line="360" w:lineRule="auto"/>
        <w:ind w:firstLine="480"/>
        <w:rPr>
          <w:sz w:val="24"/>
        </w:rPr>
      </w:pPr>
    </w:p>
    <w:p w:rsidR="00481206" w:rsidRPr="00481206" w:rsidRDefault="00481206" w:rsidP="00481206">
      <w:pPr>
        <w:spacing w:line="360" w:lineRule="auto"/>
        <w:ind w:firstLine="480"/>
        <w:rPr>
          <w:sz w:val="24"/>
        </w:rPr>
      </w:pPr>
    </w:p>
    <w:p w:rsidR="00481206" w:rsidRPr="00481206" w:rsidRDefault="00481206" w:rsidP="00481206">
      <w:pPr>
        <w:spacing w:line="360" w:lineRule="auto"/>
        <w:ind w:firstLine="480"/>
        <w:rPr>
          <w:sz w:val="24"/>
        </w:rPr>
      </w:pPr>
    </w:p>
    <w:p w:rsidR="00481206" w:rsidRPr="00481206" w:rsidRDefault="00481206" w:rsidP="00481206">
      <w:pPr>
        <w:spacing w:line="360" w:lineRule="auto"/>
        <w:ind w:firstLine="480"/>
        <w:rPr>
          <w:sz w:val="24"/>
        </w:rPr>
      </w:pPr>
    </w:p>
    <w:p w:rsidR="00481206" w:rsidRPr="00481206" w:rsidRDefault="00481206" w:rsidP="00481206">
      <w:pPr>
        <w:spacing w:line="360" w:lineRule="auto"/>
        <w:ind w:firstLine="480"/>
        <w:rPr>
          <w:sz w:val="24"/>
        </w:rPr>
      </w:pPr>
    </w:p>
    <w:p w:rsidR="00481206" w:rsidRPr="00481206" w:rsidRDefault="00481206" w:rsidP="00481206">
      <w:pPr>
        <w:pStyle w:val="2"/>
        <w:spacing w:before="0" w:after="0" w:line="360" w:lineRule="auto"/>
        <w:jc w:val="center"/>
        <w:rPr>
          <w:rFonts w:ascii="黑体" w:hAnsi="黑体" w:cs="宋体"/>
          <w:sz w:val="44"/>
          <w:szCs w:val="24"/>
        </w:rPr>
      </w:pPr>
      <w:bookmarkStart w:id="859" w:name="_Toc474271875"/>
      <w:r w:rsidRPr="00481206">
        <w:rPr>
          <w:rFonts w:ascii="黑体" w:hAnsi="黑体" w:cs="宋体" w:hint="eastAsia"/>
          <w:sz w:val="44"/>
          <w:szCs w:val="44"/>
        </w:rPr>
        <w:lastRenderedPageBreak/>
        <w:t>12 课程资源</w:t>
      </w:r>
      <w:bookmarkEnd w:id="855"/>
      <w:bookmarkEnd w:id="856"/>
      <w:bookmarkEnd w:id="857"/>
      <w:bookmarkEnd w:id="858"/>
      <w:bookmarkEnd w:id="859"/>
    </w:p>
    <w:p w:rsidR="00481206" w:rsidRPr="00481206" w:rsidRDefault="00481206" w:rsidP="00481206">
      <w:pPr>
        <w:pStyle w:val="3"/>
        <w:spacing w:before="0" w:after="0" w:line="360" w:lineRule="auto"/>
        <w:rPr>
          <w:rFonts w:ascii="宋体" w:hAnsi="宋体" w:cs="宋体"/>
          <w:sz w:val="28"/>
          <w:szCs w:val="28"/>
        </w:rPr>
      </w:pPr>
      <w:bookmarkStart w:id="860" w:name="_Toc403319313"/>
      <w:bookmarkStart w:id="861" w:name="_Toc12807"/>
      <w:bookmarkStart w:id="862" w:name="_Toc474271876"/>
      <w:r w:rsidRPr="00481206">
        <w:rPr>
          <w:rFonts w:ascii="宋体" w:hAnsi="宋体" w:cs="宋体" w:hint="eastAsia"/>
          <w:sz w:val="28"/>
          <w:szCs w:val="28"/>
        </w:rPr>
        <w:t>12.1教材与参考书</w:t>
      </w:r>
      <w:bookmarkEnd w:id="860"/>
      <w:bookmarkEnd w:id="861"/>
      <w:bookmarkEnd w:id="862"/>
    </w:p>
    <w:p w:rsidR="00481206" w:rsidRPr="00481206" w:rsidRDefault="00481206" w:rsidP="00481206">
      <w:pPr>
        <w:spacing w:line="360" w:lineRule="auto"/>
        <w:rPr>
          <w:rFonts w:ascii="宋体" w:hAnsi="宋体" w:cs="宋体"/>
          <w:sz w:val="24"/>
        </w:rPr>
      </w:pPr>
      <w:r w:rsidRPr="00481206">
        <w:rPr>
          <w:rFonts w:ascii="宋体" w:hAnsi="宋体" w:cs="宋体" w:hint="eastAsia"/>
          <w:b/>
          <w:sz w:val="24"/>
        </w:rPr>
        <w:t xml:space="preserve">   </w:t>
      </w:r>
      <w:r w:rsidRPr="00481206">
        <w:rPr>
          <w:rFonts w:ascii="宋体" w:hAnsi="宋体" w:cs="宋体" w:hint="eastAsia"/>
          <w:sz w:val="24"/>
        </w:rPr>
        <w:t xml:space="preserve"> 12.1.1教材</w:t>
      </w:r>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施兵超.《金融衍生产品》[M].上海：复旦大学出版社，2008.</w:t>
      </w:r>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12.1.2参考书</w:t>
      </w:r>
    </w:p>
    <w:p w:rsidR="00481206" w:rsidRPr="00481206" w:rsidRDefault="00481206" w:rsidP="00481206">
      <w:pPr>
        <w:spacing w:line="360" w:lineRule="auto"/>
        <w:ind w:firstLineChars="200" w:firstLine="480"/>
        <w:outlineLvl w:val="1"/>
        <w:rPr>
          <w:rFonts w:ascii="宋体" w:hAnsi="宋体" w:cs="宋体"/>
          <w:sz w:val="24"/>
        </w:rPr>
      </w:pPr>
      <w:bookmarkStart w:id="863" w:name="_Toc444350402"/>
      <w:bookmarkStart w:id="864" w:name="_Toc474271877"/>
      <w:bookmarkStart w:id="865" w:name="_Toc430424542"/>
      <w:r w:rsidRPr="00481206">
        <w:rPr>
          <w:rFonts w:ascii="宋体" w:hAnsi="宋体" w:hint="eastAsia"/>
          <w:sz w:val="24"/>
        </w:rPr>
        <w:t>高鸿业.西方及经济学学习与教学手册（第二版）[M],北京：中国人民大学出版社，  2007.</w:t>
      </w:r>
      <w:bookmarkEnd w:id="863"/>
      <w:bookmarkEnd w:id="864"/>
    </w:p>
    <w:p w:rsidR="00481206" w:rsidRPr="00481206" w:rsidRDefault="00481206" w:rsidP="00481206">
      <w:pPr>
        <w:spacing w:line="360" w:lineRule="auto"/>
        <w:ind w:firstLineChars="200" w:firstLine="480"/>
        <w:outlineLvl w:val="1"/>
        <w:rPr>
          <w:rFonts w:ascii="宋体" w:hAnsi="宋体" w:cs="宋体"/>
          <w:bCs/>
          <w:sz w:val="24"/>
        </w:rPr>
      </w:pPr>
      <w:bookmarkStart w:id="866" w:name="_Toc444350403"/>
      <w:bookmarkStart w:id="867" w:name="_Toc474271878"/>
      <w:r w:rsidRPr="00481206">
        <w:rPr>
          <w:rFonts w:ascii="宋体" w:hAnsi="宋体" w:cs="宋体" w:hint="eastAsia"/>
          <w:bCs/>
          <w:sz w:val="24"/>
        </w:rPr>
        <w:t>任映国.国际投资学</w:t>
      </w:r>
      <w:r w:rsidRPr="00481206">
        <w:rPr>
          <w:rFonts w:ascii="宋体" w:hAnsi="宋体" w:cs="宋体" w:hint="eastAsia"/>
          <w:sz w:val="24"/>
        </w:rPr>
        <w:t>[M]</w:t>
      </w:r>
      <w:r w:rsidRPr="00481206">
        <w:rPr>
          <w:rFonts w:ascii="宋体" w:hAnsi="宋体" w:cs="宋体" w:hint="eastAsia"/>
          <w:bCs/>
          <w:sz w:val="24"/>
        </w:rPr>
        <w:t>，北京：中国金融出版社出版社，2001.</w:t>
      </w:r>
      <w:bookmarkEnd w:id="866"/>
      <w:bookmarkEnd w:id="867"/>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陈信华.金融衍生工具[M],上海：上海财经大学出版社，2009.</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bCs/>
          <w:sz w:val="24"/>
        </w:rPr>
        <w:t>叶永刚.衍生金融工具[M],中国金融出版社,2004.</w:t>
      </w:r>
    </w:p>
    <w:p w:rsidR="00481206" w:rsidRPr="00481206" w:rsidRDefault="00481206" w:rsidP="00481206">
      <w:pPr>
        <w:spacing w:line="360" w:lineRule="auto"/>
        <w:ind w:firstLineChars="196" w:firstLine="470"/>
        <w:rPr>
          <w:rFonts w:ascii="宋体" w:hAnsi="宋体"/>
          <w:sz w:val="24"/>
        </w:rPr>
      </w:pPr>
      <w:r w:rsidRPr="00481206">
        <w:rPr>
          <w:rFonts w:ascii="宋体" w:hAnsi="宋体" w:hint="eastAsia"/>
          <w:sz w:val="24"/>
        </w:rPr>
        <w:t>赫尔著.期权、期货和其他衍生品[M],华夏出版社,2011.</w:t>
      </w:r>
    </w:p>
    <w:p w:rsidR="00481206" w:rsidRPr="00481206" w:rsidRDefault="00481206" w:rsidP="00481206">
      <w:pPr>
        <w:spacing w:line="360" w:lineRule="auto"/>
        <w:ind w:firstLineChars="196" w:firstLine="470"/>
        <w:rPr>
          <w:rFonts w:ascii="宋体" w:hAnsi="宋体"/>
          <w:bCs/>
          <w:sz w:val="24"/>
        </w:rPr>
      </w:pPr>
      <w:r w:rsidRPr="00481206">
        <w:rPr>
          <w:rFonts w:ascii="宋体" w:hAnsi="宋体" w:hint="eastAsia"/>
          <w:sz w:val="24"/>
        </w:rPr>
        <w:t>Hull,John C. Option,Futures and Other Derivative Securities(Fourth Edition) [M],2000.</w:t>
      </w:r>
    </w:p>
    <w:p w:rsidR="00481206" w:rsidRPr="00481206" w:rsidRDefault="00481206" w:rsidP="00481206">
      <w:pPr>
        <w:spacing w:line="360" w:lineRule="auto"/>
        <w:ind w:firstLineChars="200" w:firstLine="480"/>
        <w:outlineLvl w:val="1"/>
        <w:rPr>
          <w:rFonts w:ascii="宋体" w:hAnsi="宋体" w:cs="宋体"/>
          <w:bCs/>
          <w:sz w:val="24"/>
        </w:rPr>
      </w:pPr>
      <w:bookmarkStart w:id="868" w:name="_Toc444350404"/>
      <w:bookmarkStart w:id="869" w:name="_Toc474271879"/>
      <w:r w:rsidRPr="00481206">
        <w:rPr>
          <w:rFonts w:ascii="宋体" w:hAnsi="宋体" w:cs="宋体" w:hint="eastAsia"/>
          <w:bCs/>
          <w:sz w:val="24"/>
        </w:rPr>
        <w:t>杨德新.《跨国经营与跨国公司》</w:t>
      </w:r>
      <w:r w:rsidRPr="00481206">
        <w:rPr>
          <w:rFonts w:ascii="宋体" w:hAnsi="宋体" w:cs="宋体" w:hint="eastAsia"/>
          <w:sz w:val="24"/>
        </w:rPr>
        <w:t>[M]</w:t>
      </w:r>
      <w:r w:rsidRPr="00481206">
        <w:rPr>
          <w:rFonts w:ascii="宋体" w:hAnsi="宋体" w:cs="宋体" w:hint="eastAsia"/>
          <w:bCs/>
          <w:sz w:val="24"/>
        </w:rPr>
        <w:t>，北京：中国统计出版社，2000.</w:t>
      </w:r>
      <w:bookmarkEnd w:id="865"/>
      <w:bookmarkEnd w:id="868"/>
      <w:bookmarkEnd w:id="869"/>
    </w:p>
    <w:p w:rsidR="00481206" w:rsidRPr="00481206" w:rsidRDefault="00481206" w:rsidP="00481206">
      <w:pPr>
        <w:pStyle w:val="ad"/>
        <w:snapToGrid/>
        <w:spacing w:line="360" w:lineRule="auto"/>
        <w:ind w:firstLineChars="200" w:firstLine="480"/>
        <w:outlineLvl w:val="1"/>
        <w:rPr>
          <w:rFonts w:ascii="宋体" w:hAnsi="宋体" w:cs="宋体"/>
          <w:sz w:val="24"/>
          <w:szCs w:val="24"/>
        </w:rPr>
      </w:pPr>
      <w:bookmarkStart w:id="870" w:name="_Toc430424544"/>
      <w:bookmarkStart w:id="871" w:name="_Toc444350405"/>
      <w:bookmarkStart w:id="872" w:name="_Toc474271880"/>
      <w:r w:rsidRPr="00481206">
        <w:rPr>
          <w:rFonts w:ascii="宋体" w:hAnsi="宋体" w:cs="宋体" w:hint="eastAsia"/>
          <w:sz w:val="24"/>
          <w:szCs w:val="24"/>
        </w:rPr>
        <w:t>亚当.斯密著：《国民财富的性质和原因的研究》下卷[M].上海：商务印书馆,1974.</w:t>
      </w:r>
      <w:bookmarkEnd w:id="870"/>
      <w:bookmarkEnd w:id="871"/>
      <w:bookmarkEnd w:id="872"/>
    </w:p>
    <w:p w:rsidR="00481206" w:rsidRPr="00481206" w:rsidRDefault="00481206" w:rsidP="00481206">
      <w:pPr>
        <w:spacing w:line="360" w:lineRule="auto"/>
        <w:ind w:firstLineChars="200" w:firstLine="480"/>
        <w:outlineLvl w:val="1"/>
        <w:rPr>
          <w:rFonts w:ascii="宋体" w:hAnsi="宋体" w:cs="宋体"/>
          <w:bCs/>
          <w:sz w:val="24"/>
        </w:rPr>
      </w:pPr>
      <w:bookmarkStart w:id="873" w:name="_Toc430424545"/>
      <w:bookmarkStart w:id="874" w:name="_Toc444350406"/>
      <w:bookmarkStart w:id="875" w:name="_Toc474271881"/>
      <w:r w:rsidRPr="00481206">
        <w:rPr>
          <w:rFonts w:ascii="宋体" w:hAnsi="宋体" w:cs="宋体" w:hint="eastAsia"/>
          <w:bCs/>
          <w:sz w:val="24"/>
        </w:rPr>
        <w:t>杨大楷.《国际投资学》</w:t>
      </w:r>
      <w:r w:rsidRPr="00481206">
        <w:rPr>
          <w:rFonts w:ascii="宋体" w:hAnsi="宋体" w:cs="宋体" w:hint="eastAsia"/>
          <w:sz w:val="24"/>
        </w:rPr>
        <w:t>[M]</w:t>
      </w:r>
      <w:r w:rsidRPr="00481206">
        <w:rPr>
          <w:rFonts w:ascii="宋体" w:hAnsi="宋体" w:cs="宋体" w:hint="eastAsia"/>
          <w:bCs/>
          <w:sz w:val="24"/>
        </w:rPr>
        <w:t>，成都：西南财经大学出版社出版社,2010.</w:t>
      </w:r>
      <w:bookmarkEnd w:id="873"/>
      <w:bookmarkEnd w:id="874"/>
      <w:bookmarkEnd w:id="875"/>
    </w:p>
    <w:p w:rsidR="00481206" w:rsidRPr="00481206" w:rsidRDefault="00481206" w:rsidP="00481206">
      <w:pPr>
        <w:spacing w:line="360" w:lineRule="auto"/>
        <w:ind w:firstLine="480"/>
        <w:rPr>
          <w:rFonts w:ascii="宋体" w:hAnsi="宋体" w:cs="宋体"/>
          <w:sz w:val="24"/>
        </w:rPr>
      </w:pPr>
      <w:r w:rsidRPr="00481206">
        <w:rPr>
          <w:rFonts w:ascii="宋体" w:hAnsi="宋体" w:cs="宋体" w:hint="eastAsia"/>
          <w:sz w:val="24"/>
        </w:rPr>
        <w:t>厉以宁. 西方经济学[M].北京：高等教育出版社，2000.</w:t>
      </w:r>
    </w:p>
    <w:p w:rsidR="00481206" w:rsidRPr="00481206" w:rsidRDefault="00481206" w:rsidP="00481206">
      <w:pPr>
        <w:pStyle w:val="3"/>
        <w:spacing w:before="0" w:after="0" w:line="360" w:lineRule="auto"/>
        <w:rPr>
          <w:rFonts w:ascii="宋体" w:hAnsi="宋体" w:cs="宋体"/>
          <w:sz w:val="28"/>
          <w:szCs w:val="28"/>
        </w:rPr>
      </w:pPr>
      <w:bookmarkStart w:id="876" w:name="_Toc403319314"/>
      <w:bookmarkStart w:id="877" w:name="_Toc30318"/>
      <w:bookmarkStart w:id="878" w:name="_Toc474271882"/>
      <w:r w:rsidRPr="00481206">
        <w:rPr>
          <w:rFonts w:ascii="宋体" w:hAnsi="宋体" w:cs="宋体" w:hint="eastAsia"/>
          <w:sz w:val="28"/>
          <w:szCs w:val="28"/>
        </w:rPr>
        <w:t>12.2专业学术专著</w:t>
      </w:r>
      <w:bookmarkEnd w:id="876"/>
      <w:bookmarkEnd w:id="877"/>
      <w:bookmarkEnd w:id="878"/>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马克思.资本论（第一卷、第二卷）[M].北京：人民出版社，1975.</w:t>
      </w:r>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宋承先.西方经济学名著提要[M].南昌：江西人民出版社，1998.</w:t>
      </w:r>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安塞尔·M·夏普，查尔斯·A·雷吉斯特等.社会问题经济学[M].北京：中国人民大学出版社，2007.</w:t>
      </w:r>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琼斯.经济增长导论[M].北京：北京大学出版社，2002.</w:t>
      </w:r>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亚当•斯密.</w:t>
      </w:r>
      <w:hyperlink r:id="rId743" w:tgtFrame="_blank" w:history="1">
        <w:r w:rsidRPr="00481206">
          <w:rPr>
            <w:rFonts w:ascii="宋体" w:hAnsi="宋体" w:cs="宋体" w:hint="eastAsia"/>
            <w:sz w:val="24"/>
          </w:rPr>
          <w:t>国富论[M]</w:t>
        </w:r>
      </w:hyperlink>
      <w:r w:rsidRPr="00481206">
        <w:rPr>
          <w:rFonts w:ascii="宋体" w:hAnsi="宋体" w:cs="宋体" w:hint="eastAsia"/>
          <w:sz w:val="24"/>
        </w:rPr>
        <w:t>.上海：上海三联书店，2009.</w:t>
      </w:r>
    </w:p>
    <w:p w:rsidR="00481206" w:rsidRPr="00481206" w:rsidRDefault="00481206" w:rsidP="00481206">
      <w:pPr>
        <w:spacing w:line="360" w:lineRule="auto"/>
        <w:ind w:firstLine="435"/>
        <w:rPr>
          <w:rFonts w:ascii="宋体" w:hAnsi="宋体"/>
          <w:sz w:val="24"/>
        </w:rPr>
      </w:pPr>
      <w:r w:rsidRPr="00481206">
        <w:rPr>
          <w:rFonts w:ascii="宋体" w:hAnsi="宋体" w:hint="eastAsia"/>
          <w:sz w:val="24"/>
        </w:rPr>
        <w:t>姚开建.</w:t>
      </w:r>
      <w:hyperlink r:id="rId744" w:tgtFrame="_blank" w:history="1">
        <w:r w:rsidRPr="00481206">
          <w:rPr>
            <w:rFonts w:ascii="宋体" w:hAnsi="宋体" w:hint="eastAsia"/>
            <w:sz w:val="24"/>
          </w:rPr>
          <w:t>经济学说史(第2版)</w:t>
        </w:r>
      </w:hyperlink>
      <w:r w:rsidRPr="00481206">
        <w:rPr>
          <w:rFonts w:ascii="宋体" w:hAnsi="宋体" w:hint="eastAsia"/>
          <w:sz w:val="24"/>
        </w:rPr>
        <w:t>[M].北京：中国人民大学出版社，2011.</w:t>
      </w:r>
    </w:p>
    <w:p w:rsidR="00481206" w:rsidRPr="00481206" w:rsidRDefault="00EF6E22" w:rsidP="00481206">
      <w:pPr>
        <w:spacing w:line="360" w:lineRule="auto"/>
        <w:ind w:firstLine="435"/>
        <w:rPr>
          <w:rStyle w:val="a-size-mediuma-color-secondarya-text-normal"/>
          <w:rFonts w:ascii="宋体" w:hAnsi="宋体" w:cs="Arial"/>
          <w:sz w:val="24"/>
        </w:rPr>
      </w:pPr>
      <w:hyperlink r:id="rId745" w:history="1">
        <w:r w:rsidR="00481206" w:rsidRPr="00481206">
          <w:rPr>
            <w:rStyle w:val="a6"/>
            <w:rFonts w:ascii="宋体" w:hAnsi="宋体" w:cs="Arial"/>
            <w:color w:val="auto"/>
            <w:sz w:val="24"/>
            <w:shd w:val="clear" w:color="auto" w:fill="FFFFFF"/>
          </w:rPr>
          <w:t>刘舒年</w:t>
        </w:r>
      </w:hyperlink>
      <w:r w:rsidR="00481206" w:rsidRPr="00481206">
        <w:rPr>
          <w:rStyle w:val="a-size-large"/>
          <w:rFonts w:ascii="宋体" w:hAnsi="宋体" w:cs="Arial"/>
          <w:sz w:val="24"/>
        </w:rPr>
        <w:t>国际工程融资与外汇</w:t>
      </w:r>
      <w:r w:rsidR="00481206" w:rsidRPr="00481206">
        <w:rPr>
          <w:rStyle w:val="a-size-large"/>
          <w:rFonts w:ascii="宋体" w:hAnsi="宋体" w:cs="Arial" w:hint="eastAsia"/>
          <w:sz w:val="24"/>
        </w:rPr>
        <w:t>[M]</w:t>
      </w:r>
      <w:r w:rsidR="00481206" w:rsidRPr="00481206">
        <w:rPr>
          <w:rStyle w:val="a-size-large"/>
          <w:rFonts w:ascii="宋体" w:hAnsi="宋体" w:cs="Arial"/>
          <w:sz w:val="24"/>
        </w:rPr>
        <w:t>.北京：</w:t>
      </w:r>
      <w:r w:rsidR="00481206" w:rsidRPr="00481206">
        <w:rPr>
          <w:rFonts w:ascii="宋体" w:hAnsi="宋体"/>
          <w:sz w:val="24"/>
          <w:shd w:val="clear" w:color="auto" w:fill="FFFFFF"/>
        </w:rPr>
        <w:t>中国建筑工业出版社，</w:t>
      </w:r>
      <w:r w:rsidR="00481206" w:rsidRPr="00481206">
        <w:rPr>
          <w:rStyle w:val="a-size-mediuma-color-secondarya-text-normal"/>
          <w:rFonts w:ascii="宋体" w:hAnsi="宋体" w:cs="Arial"/>
          <w:sz w:val="24"/>
        </w:rPr>
        <w:t>2004</w:t>
      </w:r>
      <w:r w:rsidR="00481206" w:rsidRPr="00481206">
        <w:rPr>
          <w:rStyle w:val="a-size-mediuma-color-secondarya-text-normal"/>
          <w:rFonts w:ascii="宋体" w:hAnsi="宋体" w:cs="Arial" w:hint="eastAsia"/>
          <w:sz w:val="24"/>
        </w:rPr>
        <w:t>.</w:t>
      </w:r>
    </w:p>
    <w:p w:rsidR="00481206" w:rsidRPr="00481206" w:rsidRDefault="00EF6E22" w:rsidP="00481206">
      <w:pPr>
        <w:spacing w:line="360" w:lineRule="auto"/>
        <w:ind w:firstLine="435"/>
        <w:rPr>
          <w:rFonts w:ascii="宋体" w:hAnsi="宋体" w:cs="Arial"/>
          <w:sz w:val="24"/>
          <w:shd w:val="clear" w:color="auto" w:fill="FFFFFF"/>
        </w:rPr>
      </w:pPr>
      <w:hyperlink r:id="rId746" w:history="1">
        <w:r w:rsidR="00481206" w:rsidRPr="00481206">
          <w:rPr>
            <w:rStyle w:val="a6"/>
            <w:rFonts w:ascii="宋体" w:hAnsi="宋体" w:cs="Arial"/>
            <w:color w:val="auto"/>
            <w:sz w:val="24"/>
            <w:shd w:val="clear" w:color="auto" w:fill="FFFFFF"/>
          </w:rPr>
          <w:t>布鲁诺·索尔尼克</w:t>
        </w:r>
      </w:hyperlink>
      <w:r w:rsidR="00481206" w:rsidRPr="00481206">
        <w:rPr>
          <w:rStyle w:val="a-size-large"/>
          <w:rFonts w:ascii="宋体" w:hAnsi="宋体" w:cs="Arial"/>
          <w:sz w:val="24"/>
        </w:rPr>
        <w:t>国际投资学(第4版)</w:t>
      </w:r>
      <w:r w:rsidR="00481206" w:rsidRPr="00481206">
        <w:rPr>
          <w:rStyle w:val="a-size-large"/>
          <w:rFonts w:ascii="宋体" w:hAnsi="宋体" w:cs="Arial" w:hint="eastAsia"/>
          <w:sz w:val="24"/>
        </w:rPr>
        <w:t xml:space="preserve"> [M]</w:t>
      </w:r>
      <w:r w:rsidR="00481206" w:rsidRPr="00481206">
        <w:rPr>
          <w:rStyle w:val="a-size-large"/>
          <w:rFonts w:ascii="宋体" w:hAnsi="宋体" w:cs="Arial"/>
          <w:sz w:val="24"/>
        </w:rPr>
        <w:t>.北京：</w:t>
      </w:r>
      <w:r w:rsidR="00481206" w:rsidRPr="00481206">
        <w:rPr>
          <w:rFonts w:ascii="宋体" w:hAnsi="宋体"/>
          <w:sz w:val="24"/>
          <w:shd w:val="clear" w:color="auto" w:fill="FFFFFF"/>
        </w:rPr>
        <w:t xml:space="preserve"> 中国人民大学出版社，</w:t>
      </w:r>
      <w:r w:rsidR="00481206" w:rsidRPr="00481206">
        <w:rPr>
          <w:rFonts w:ascii="宋体" w:hAnsi="宋体" w:cs="Arial"/>
          <w:sz w:val="24"/>
          <w:shd w:val="clear" w:color="auto" w:fill="FFFFFF"/>
        </w:rPr>
        <w:t>2004</w:t>
      </w:r>
      <w:r w:rsidR="00481206" w:rsidRPr="00481206">
        <w:rPr>
          <w:rFonts w:ascii="宋体" w:hAnsi="宋体" w:cs="Arial" w:hint="eastAsia"/>
          <w:sz w:val="24"/>
          <w:shd w:val="clear" w:color="auto" w:fill="FFFFFF"/>
        </w:rPr>
        <w:t>.</w:t>
      </w:r>
    </w:p>
    <w:p w:rsidR="00481206" w:rsidRPr="00481206" w:rsidRDefault="00EF6E22" w:rsidP="00481206">
      <w:pPr>
        <w:spacing w:line="360" w:lineRule="auto"/>
        <w:ind w:firstLine="435"/>
        <w:rPr>
          <w:rFonts w:ascii="宋体" w:hAnsi="宋体" w:cs="宋体"/>
          <w:sz w:val="24"/>
        </w:rPr>
      </w:pPr>
      <w:hyperlink r:id="rId747" w:tgtFrame="_blank" w:history="1">
        <w:r w:rsidR="00481206" w:rsidRPr="00481206">
          <w:rPr>
            <w:rStyle w:val="a6"/>
            <w:rFonts w:ascii="宋体" w:hAnsi="宋体" w:cs="Arial"/>
            <w:color w:val="auto"/>
            <w:sz w:val="24"/>
            <w:shd w:val="clear" w:color="auto" w:fill="FFFFFF"/>
          </w:rPr>
          <w:t>滋维·博迪</w:t>
        </w:r>
      </w:hyperlink>
      <w:r w:rsidR="00481206" w:rsidRPr="00481206">
        <w:rPr>
          <w:rFonts w:ascii="宋体" w:hAnsi="宋体" w:cs="Arial"/>
          <w:sz w:val="24"/>
        </w:rPr>
        <w:t>投资学（原书第9版）</w:t>
      </w:r>
      <w:r w:rsidR="00481206" w:rsidRPr="00481206">
        <w:rPr>
          <w:rStyle w:val="a-size-large"/>
          <w:rFonts w:ascii="宋体" w:hAnsi="宋体" w:cs="Arial" w:hint="eastAsia"/>
          <w:sz w:val="24"/>
        </w:rPr>
        <w:t>[M]</w:t>
      </w:r>
      <w:r w:rsidR="00481206" w:rsidRPr="00481206">
        <w:rPr>
          <w:rStyle w:val="a-size-large"/>
          <w:rFonts w:ascii="宋体" w:hAnsi="宋体" w:cs="Arial"/>
          <w:sz w:val="24"/>
        </w:rPr>
        <w:t>.北京：</w:t>
      </w:r>
      <w:hyperlink r:id="rId748" w:tgtFrame="_blank" w:tooltip="机械工业出版社" w:history="1">
        <w:r w:rsidR="00481206" w:rsidRPr="00481206">
          <w:rPr>
            <w:rStyle w:val="a6"/>
            <w:rFonts w:ascii="宋体" w:hAnsi="宋体" w:cs="Arial"/>
            <w:color w:val="auto"/>
            <w:sz w:val="24"/>
            <w:shd w:val="clear" w:color="auto" w:fill="FFFFFF"/>
          </w:rPr>
          <w:t>机械工业出版社</w:t>
        </w:r>
      </w:hyperlink>
      <w:r w:rsidR="00481206" w:rsidRPr="00481206">
        <w:rPr>
          <w:rFonts w:ascii="宋体" w:hAnsi="宋体"/>
          <w:sz w:val="24"/>
        </w:rPr>
        <w:t>，2012</w:t>
      </w:r>
      <w:r w:rsidR="00481206" w:rsidRPr="00481206">
        <w:rPr>
          <w:rFonts w:ascii="宋体" w:hAnsi="宋体" w:hint="eastAsia"/>
          <w:sz w:val="24"/>
        </w:rPr>
        <w:t>.</w:t>
      </w:r>
    </w:p>
    <w:p w:rsidR="00481206" w:rsidRPr="00481206" w:rsidRDefault="00481206" w:rsidP="00481206">
      <w:pPr>
        <w:pStyle w:val="3"/>
        <w:spacing w:before="0" w:after="0" w:line="360" w:lineRule="auto"/>
        <w:rPr>
          <w:rFonts w:ascii="宋体" w:hAnsi="宋体" w:cs="宋体"/>
          <w:sz w:val="28"/>
          <w:szCs w:val="28"/>
        </w:rPr>
      </w:pPr>
      <w:bookmarkStart w:id="879" w:name="_Toc403319315"/>
      <w:bookmarkStart w:id="880" w:name="_Toc29046"/>
      <w:bookmarkStart w:id="881" w:name="_Toc474271883"/>
      <w:r w:rsidRPr="00481206">
        <w:rPr>
          <w:rFonts w:ascii="宋体" w:hAnsi="宋体" w:cs="宋体" w:hint="eastAsia"/>
          <w:sz w:val="28"/>
          <w:szCs w:val="28"/>
        </w:rPr>
        <w:lastRenderedPageBreak/>
        <w:t>12.3专业刊物</w:t>
      </w:r>
      <w:bookmarkEnd w:id="879"/>
      <w:bookmarkEnd w:id="880"/>
      <w:bookmarkEnd w:id="881"/>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w:t>
      </w:r>
      <w:r w:rsidRPr="00481206">
        <w:rPr>
          <w:rFonts w:ascii="宋体" w:hAnsi="宋体" w:hint="eastAsia"/>
          <w:sz w:val="24"/>
        </w:rPr>
        <w:t>《</w:t>
      </w:r>
      <w:bookmarkStart w:id="882" w:name="baidusnap0"/>
      <w:bookmarkEnd w:id="882"/>
      <w:r w:rsidRPr="00481206">
        <w:rPr>
          <w:rFonts w:ascii="宋体" w:hAnsi="宋体" w:hint="eastAsia"/>
          <w:sz w:val="24"/>
        </w:rPr>
        <w:t>国际金融研究 》、《国际金融研究》、《</w:t>
      </w:r>
      <w:r w:rsidRPr="00481206">
        <w:rPr>
          <w:rStyle w:val="apple-converted-space"/>
          <w:rFonts w:ascii="宋体" w:hAnsi="宋体" w:hint="eastAsia"/>
          <w:sz w:val="24"/>
        </w:rPr>
        <w:t> </w:t>
      </w:r>
      <w:r w:rsidRPr="00481206">
        <w:rPr>
          <w:rFonts w:ascii="宋体" w:hAnsi="宋体" w:hint="eastAsia"/>
          <w:sz w:val="24"/>
        </w:rPr>
        <w:t>国际金融研究》、《投资研究 》、《投资研究》、</w:t>
      </w:r>
      <w:r w:rsidRPr="00481206">
        <w:rPr>
          <w:rFonts w:ascii="宋体" w:hAnsi="宋体" w:cs="宋体" w:hint="eastAsia"/>
          <w:sz w:val="24"/>
        </w:rPr>
        <w:t>《经济研究》、《经济问题》、《经济学动态》、《经济学家》、《中国社会科学》、《世界经济》、《经济学》、《经济问题探索》等。</w:t>
      </w:r>
    </w:p>
    <w:p w:rsidR="00481206" w:rsidRPr="00481206" w:rsidRDefault="00481206" w:rsidP="00481206">
      <w:pPr>
        <w:pStyle w:val="3"/>
        <w:spacing w:before="0" w:after="0" w:line="360" w:lineRule="auto"/>
        <w:rPr>
          <w:rFonts w:ascii="宋体" w:hAnsi="宋体" w:cs="宋体"/>
          <w:sz w:val="28"/>
          <w:szCs w:val="28"/>
        </w:rPr>
      </w:pPr>
      <w:bookmarkStart w:id="883" w:name="_Toc403319316"/>
      <w:bookmarkStart w:id="884" w:name="_Toc9428"/>
      <w:bookmarkStart w:id="885" w:name="_Toc474271884"/>
      <w:r w:rsidRPr="00481206">
        <w:rPr>
          <w:rFonts w:ascii="宋体" w:hAnsi="宋体" w:cs="宋体" w:hint="eastAsia"/>
          <w:sz w:val="28"/>
          <w:szCs w:val="28"/>
        </w:rPr>
        <w:t>12.4网络及课外阅读资源</w:t>
      </w:r>
      <w:bookmarkEnd w:id="883"/>
      <w:bookmarkEnd w:id="884"/>
      <w:bookmarkEnd w:id="885"/>
    </w:p>
    <w:p w:rsidR="00481206" w:rsidRPr="00481206" w:rsidRDefault="00481206" w:rsidP="00481206">
      <w:pPr>
        <w:snapToGrid w:val="0"/>
        <w:spacing w:line="360" w:lineRule="auto"/>
        <w:rPr>
          <w:rFonts w:ascii="宋体" w:hAnsi="宋体" w:cs="宋体"/>
          <w:sz w:val="24"/>
        </w:rPr>
      </w:pPr>
      <w:r w:rsidRPr="00481206">
        <w:rPr>
          <w:rFonts w:ascii="宋体" w:hAnsi="宋体" w:cs="宋体" w:hint="eastAsia"/>
          <w:sz w:val="24"/>
        </w:rPr>
        <w:t xml:space="preserve">    为便于学生自学，达到拓展知识面、完善理论知识体系和深化理论认识目的，像学生推荐以下相关的资源渠道：</w:t>
      </w:r>
    </w:p>
    <w:p w:rsidR="00481206" w:rsidRPr="00481206" w:rsidRDefault="00481206" w:rsidP="00481206">
      <w:pPr>
        <w:numPr>
          <w:ilvl w:val="0"/>
          <w:numId w:val="13"/>
        </w:numPr>
        <w:snapToGrid w:val="0"/>
        <w:spacing w:line="360" w:lineRule="auto"/>
        <w:ind w:left="840"/>
        <w:jc w:val="left"/>
        <w:rPr>
          <w:rFonts w:ascii="宋体" w:hAnsi="宋体" w:cs="宋体"/>
          <w:sz w:val="24"/>
        </w:rPr>
      </w:pPr>
      <w:r w:rsidRPr="00481206">
        <w:rPr>
          <w:rFonts w:ascii="宋体" w:hAnsi="宋体" w:cs="宋体" w:hint="eastAsia"/>
          <w:sz w:val="24"/>
        </w:rPr>
        <w:t xml:space="preserve">人大经济论坛[EB/OL] </w:t>
      </w:r>
      <w:hyperlink r:id="rId749" w:history="1">
        <w:r w:rsidRPr="00481206">
          <w:rPr>
            <w:rStyle w:val="a6"/>
            <w:rFonts w:ascii="宋体" w:hAnsi="宋体" w:cs="宋体" w:hint="eastAsia"/>
            <w:color w:val="auto"/>
            <w:sz w:val="24"/>
          </w:rPr>
          <w:t>http://bbs.pinggu.org/</w:t>
        </w:r>
      </w:hyperlink>
    </w:p>
    <w:p w:rsidR="00481206" w:rsidRPr="00481206" w:rsidRDefault="00481206" w:rsidP="00481206">
      <w:pPr>
        <w:numPr>
          <w:ilvl w:val="0"/>
          <w:numId w:val="13"/>
        </w:numPr>
        <w:snapToGrid w:val="0"/>
        <w:spacing w:line="360" w:lineRule="auto"/>
        <w:ind w:left="840"/>
        <w:jc w:val="left"/>
        <w:rPr>
          <w:rFonts w:ascii="宋体" w:hAnsi="宋体" w:cs="宋体"/>
          <w:sz w:val="24"/>
        </w:rPr>
      </w:pPr>
      <w:r w:rsidRPr="00481206">
        <w:rPr>
          <w:rFonts w:ascii="宋体" w:hAnsi="宋体" w:cs="宋体" w:hint="eastAsia"/>
          <w:sz w:val="24"/>
        </w:rPr>
        <w:t>经济学家[EB/OL]</w:t>
      </w:r>
      <w:hyperlink r:id="rId750" w:tgtFrame="_blank" w:history="1">
        <w:r w:rsidRPr="00481206">
          <w:rPr>
            <w:rFonts w:ascii="宋体" w:hAnsi="宋体" w:cs="宋体" w:hint="eastAsia"/>
            <w:sz w:val="24"/>
          </w:rPr>
          <w:t>http://www.jjxj.com.cn</w:t>
        </w:r>
      </w:hyperlink>
    </w:p>
    <w:p w:rsidR="00481206" w:rsidRPr="00481206" w:rsidRDefault="00481206" w:rsidP="00481206">
      <w:pPr>
        <w:numPr>
          <w:ilvl w:val="0"/>
          <w:numId w:val="13"/>
        </w:numPr>
        <w:snapToGrid w:val="0"/>
        <w:spacing w:line="360" w:lineRule="auto"/>
        <w:ind w:left="840"/>
        <w:jc w:val="left"/>
        <w:rPr>
          <w:rFonts w:ascii="宋体" w:hAnsi="宋体" w:cs="宋体"/>
          <w:sz w:val="24"/>
        </w:rPr>
      </w:pPr>
      <w:r w:rsidRPr="00481206">
        <w:rPr>
          <w:rFonts w:ascii="宋体" w:hAnsi="宋体" w:cs="宋体" w:hint="eastAsia"/>
          <w:sz w:val="24"/>
        </w:rPr>
        <w:t xml:space="preserve">中国经济学教育科研网[EB/OL] </w:t>
      </w:r>
      <w:hyperlink r:id="rId751" w:tgtFrame="_blank" w:history="1">
        <w:r w:rsidRPr="00481206">
          <w:rPr>
            <w:rFonts w:ascii="宋体" w:hAnsi="宋体" w:cs="宋体" w:hint="eastAsia"/>
            <w:sz w:val="24"/>
          </w:rPr>
          <w:t>http://www.cenet.org.cn/cn/</w:t>
        </w:r>
      </w:hyperlink>
    </w:p>
    <w:p w:rsidR="00481206" w:rsidRPr="00481206" w:rsidRDefault="00481206" w:rsidP="00481206">
      <w:pPr>
        <w:numPr>
          <w:ilvl w:val="0"/>
          <w:numId w:val="13"/>
        </w:numPr>
        <w:snapToGrid w:val="0"/>
        <w:spacing w:line="360" w:lineRule="auto"/>
        <w:ind w:left="840"/>
        <w:jc w:val="left"/>
        <w:rPr>
          <w:rFonts w:ascii="宋体" w:hAnsi="宋体" w:cs="宋体"/>
          <w:sz w:val="24"/>
        </w:rPr>
      </w:pPr>
      <w:r w:rsidRPr="00481206">
        <w:rPr>
          <w:rFonts w:ascii="宋体" w:hAnsi="宋体" w:cs="宋体" w:hint="eastAsia"/>
          <w:sz w:val="24"/>
        </w:rPr>
        <w:t>经济学家的网上资源[EB/OL] </w:t>
      </w:r>
      <w:hyperlink r:id="rId752" w:tgtFrame="_blank" w:history="1">
        <w:r w:rsidRPr="00481206">
          <w:rPr>
            <w:rFonts w:ascii="宋体" w:hAnsi="宋体" w:cs="宋体" w:hint="eastAsia"/>
            <w:sz w:val="24"/>
          </w:rPr>
          <w:t>http://netec.wustl.edu/EconFAQ/EconFAQ.html</w:t>
        </w:r>
      </w:hyperlink>
    </w:p>
    <w:p w:rsidR="00481206" w:rsidRPr="00481206" w:rsidRDefault="00481206" w:rsidP="00481206">
      <w:pPr>
        <w:numPr>
          <w:ilvl w:val="0"/>
          <w:numId w:val="13"/>
        </w:numPr>
        <w:snapToGrid w:val="0"/>
        <w:spacing w:line="360" w:lineRule="auto"/>
        <w:ind w:left="840"/>
        <w:jc w:val="left"/>
        <w:rPr>
          <w:rFonts w:ascii="宋体" w:hAnsi="宋体" w:cs="宋体"/>
          <w:sz w:val="24"/>
        </w:rPr>
      </w:pPr>
      <w:r w:rsidRPr="00481206">
        <w:rPr>
          <w:rFonts w:ascii="宋体" w:hAnsi="宋体" w:cs="宋体" w:hint="eastAsia"/>
          <w:sz w:val="24"/>
        </w:rPr>
        <w:t>东方财富网[EB/OL]</w:t>
      </w:r>
      <w:r w:rsidRPr="00481206">
        <w:rPr>
          <w:rFonts w:ascii="宋体" w:hAnsi="宋体" w:cs="Arial"/>
          <w:sz w:val="24"/>
          <w:shd w:val="clear" w:color="auto" w:fill="FFFFFF"/>
        </w:rPr>
        <w:t xml:space="preserve"> </w:t>
      </w:r>
      <w:hyperlink r:id="rId753" w:history="1">
        <w:r w:rsidRPr="00481206">
          <w:rPr>
            <w:rStyle w:val="a6"/>
            <w:rFonts w:ascii="宋体" w:hAnsi="宋体" w:cs="Arial"/>
            <w:color w:val="auto"/>
            <w:sz w:val="24"/>
            <w:shd w:val="clear" w:color="auto" w:fill="FFFFFF"/>
          </w:rPr>
          <w:t>www.eastmoney.com/</w:t>
        </w:r>
      </w:hyperlink>
    </w:p>
    <w:p w:rsidR="00481206" w:rsidRPr="00481206" w:rsidRDefault="00481206" w:rsidP="00481206">
      <w:pPr>
        <w:numPr>
          <w:ilvl w:val="0"/>
          <w:numId w:val="13"/>
        </w:numPr>
        <w:snapToGrid w:val="0"/>
        <w:spacing w:line="360" w:lineRule="auto"/>
        <w:ind w:left="840"/>
        <w:jc w:val="left"/>
        <w:rPr>
          <w:rFonts w:ascii="宋体" w:hAnsi="宋体" w:cs="宋体"/>
          <w:sz w:val="24"/>
        </w:rPr>
      </w:pPr>
      <w:r w:rsidRPr="00481206">
        <w:rPr>
          <w:rFonts w:ascii="宋体" w:hAnsi="宋体" w:cs="宋体" w:hint="eastAsia"/>
          <w:sz w:val="24"/>
        </w:rPr>
        <w:t>国际货币基金组织[EB/OL]</w:t>
      </w:r>
      <w:r w:rsidRPr="00481206">
        <w:t xml:space="preserve"> </w:t>
      </w:r>
      <w:r w:rsidRPr="00481206">
        <w:rPr>
          <w:rFonts w:ascii="宋体" w:hAnsi="宋体" w:cs="宋体"/>
          <w:sz w:val="24"/>
        </w:rPr>
        <w:t>http://www.imf.org/external/</w:t>
      </w:r>
    </w:p>
    <w:p w:rsidR="00481206" w:rsidRPr="00481206" w:rsidRDefault="00481206" w:rsidP="00481206">
      <w:pPr>
        <w:pStyle w:val="3"/>
        <w:spacing w:before="0" w:after="0" w:line="360" w:lineRule="auto"/>
        <w:rPr>
          <w:rFonts w:ascii="宋体" w:hAnsi="宋体" w:cs="宋体"/>
          <w:sz w:val="28"/>
          <w:szCs w:val="28"/>
        </w:rPr>
      </w:pPr>
      <w:bookmarkStart w:id="886" w:name="_Toc403319317"/>
      <w:bookmarkStart w:id="887" w:name="_Toc26053"/>
      <w:bookmarkStart w:id="888" w:name="_Toc474271885"/>
      <w:r w:rsidRPr="00481206">
        <w:rPr>
          <w:rFonts w:ascii="宋体" w:hAnsi="宋体" w:cs="宋体" w:hint="eastAsia"/>
          <w:sz w:val="28"/>
          <w:szCs w:val="28"/>
        </w:rPr>
        <w:t>12.5课外阅读资源</w:t>
      </w:r>
      <w:bookmarkEnd w:id="886"/>
      <w:bookmarkEnd w:id="887"/>
      <w:bookmarkEnd w:id="888"/>
    </w:p>
    <w:p w:rsidR="00481206" w:rsidRPr="00481206" w:rsidRDefault="00481206" w:rsidP="00481206">
      <w:pPr>
        <w:numPr>
          <w:ilvl w:val="0"/>
          <w:numId w:val="31"/>
        </w:numPr>
        <w:spacing w:line="360" w:lineRule="auto"/>
        <w:rPr>
          <w:sz w:val="24"/>
        </w:rPr>
      </w:pPr>
      <w:r w:rsidRPr="00481206">
        <w:rPr>
          <w:rFonts w:hint="eastAsia"/>
          <w:sz w:val="24"/>
        </w:rPr>
        <w:t>报纸类</w:t>
      </w:r>
    </w:p>
    <w:p w:rsidR="00481206" w:rsidRPr="00481206" w:rsidRDefault="00481206" w:rsidP="00481206">
      <w:pPr>
        <w:numPr>
          <w:ilvl w:val="0"/>
          <w:numId w:val="30"/>
        </w:numPr>
        <w:spacing w:line="360" w:lineRule="auto"/>
        <w:rPr>
          <w:rFonts w:ascii="宋体" w:hAnsi="宋体"/>
          <w:sz w:val="24"/>
        </w:rPr>
      </w:pPr>
      <w:r w:rsidRPr="00481206">
        <w:rPr>
          <w:rFonts w:ascii="宋体" w:hAnsi="宋体" w:hint="eastAsia"/>
          <w:sz w:val="24"/>
        </w:rPr>
        <w:t xml:space="preserve">经济导报 </w:t>
      </w:r>
    </w:p>
    <w:p w:rsidR="00481206" w:rsidRPr="00481206" w:rsidRDefault="00481206" w:rsidP="00481206">
      <w:pPr>
        <w:numPr>
          <w:ilvl w:val="0"/>
          <w:numId w:val="30"/>
        </w:numPr>
        <w:spacing w:line="360" w:lineRule="auto"/>
        <w:rPr>
          <w:rFonts w:ascii="宋体" w:hAnsi="宋体"/>
          <w:sz w:val="24"/>
        </w:rPr>
      </w:pPr>
      <w:r w:rsidRPr="00481206">
        <w:rPr>
          <w:rFonts w:ascii="宋体" w:hAnsi="宋体" w:hint="eastAsia"/>
          <w:sz w:val="24"/>
        </w:rPr>
        <w:t>经济日报</w:t>
      </w:r>
    </w:p>
    <w:p w:rsidR="00481206" w:rsidRPr="00481206" w:rsidRDefault="00481206" w:rsidP="00481206">
      <w:pPr>
        <w:numPr>
          <w:ilvl w:val="0"/>
          <w:numId w:val="30"/>
        </w:numPr>
        <w:spacing w:line="360" w:lineRule="auto"/>
        <w:rPr>
          <w:rFonts w:ascii="宋体" w:hAnsi="宋体"/>
          <w:sz w:val="24"/>
        </w:rPr>
      </w:pPr>
      <w:r w:rsidRPr="00481206">
        <w:rPr>
          <w:rFonts w:ascii="宋体" w:hAnsi="宋体" w:hint="eastAsia"/>
          <w:sz w:val="24"/>
        </w:rPr>
        <w:t xml:space="preserve">经济观察报 </w:t>
      </w:r>
    </w:p>
    <w:p w:rsidR="00481206" w:rsidRPr="00481206" w:rsidRDefault="00481206" w:rsidP="00481206">
      <w:pPr>
        <w:numPr>
          <w:ilvl w:val="0"/>
          <w:numId w:val="30"/>
        </w:numPr>
        <w:spacing w:line="360" w:lineRule="auto"/>
        <w:rPr>
          <w:rFonts w:ascii="宋体" w:hAnsi="宋体"/>
          <w:sz w:val="24"/>
        </w:rPr>
      </w:pPr>
      <w:r w:rsidRPr="00481206">
        <w:rPr>
          <w:rFonts w:ascii="宋体" w:hAnsi="宋体" w:hint="eastAsia"/>
          <w:sz w:val="24"/>
        </w:rPr>
        <w:t xml:space="preserve">经济参考报 </w:t>
      </w:r>
    </w:p>
    <w:p w:rsidR="00481206" w:rsidRPr="00481206" w:rsidRDefault="00481206" w:rsidP="00481206">
      <w:pPr>
        <w:numPr>
          <w:ilvl w:val="0"/>
          <w:numId w:val="30"/>
        </w:numPr>
        <w:spacing w:line="360" w:lineRule="auto"/>
        <w:rPr>
          <w:rFonts w:ascii="宋体" w:hAnsi="宋体"/>
          <w:sz w:val="24"/>
        </w:rPr>
      </w:pPr>
      <w:r w:rsidRPr="00481206">
        <w:rPr>
          <w:rFonts w:ascii="宋体" w:hAnsi="宋体" w:hint="eastAsia"/>
          <w:sz w:val="24"/>
        </w:rPr>
        <w:t xml:space="preserve">中国经营报 </w:t>
      </w:r>
    </w:p>
    <w:p w:rsidR="00481206" w:rsidRPr="00481206" w:rsidRDefault="00481206" w:rsidP="00481206">
      <w:pPr>
        <w:numPr>
          <w:ilvl w:val="0"/>
          <w:numId w:val="30"/>
        </w:numPr>
        <w:spacing w:line="360" w:lineRule="auto"/>
        <w:rPr>
          <w:rFonts w:ascii="宋体" w:hAnsi="宋体"/>
          <w:sz w:val="24"/>
        </w:rPr>
      </w:pPr>
      <w:r w:rsidRPr="00481206">
        <w:rPr>
          <w:rFonts w:ascii="宋体" w:hAnsi="宋体" w:hint="eastAsia"/>
          <w:sz w:val="24"/>
        </w:rPr>
        <w:t>中华工商时报</w:t>
      </w:r>
    </w:p>
    <w:p w:rsidR="00481206" w:rsidRPr="00481206" w:rsidRDefault="00481206" w:rsidP="00481206">
      <w:pPr>
        <w:numPr>
          <w:ilvl w:val="0"/>
          <w:numId w:val="30"/>
        </w:numPr>
        <w:spacing w:line="360" w:lineRule="auto"/>
        <w:rPr>
          <w:rFonts w:ascii="宋体" w:hAnsi="宋体"/>
          <w:sz w:val="24"/>
        </w:rPr>
      </w:pPr>
      <w:r w:rsidRPr="00481206">
        <w:rPr>
          <w:rFonts w:ascii="宋体" w:hAnsi="宋体" w:hint="eastAsia"/>
          <w:sz w:val="24"/>
        </w:rPr>
        <w:t>国际经贸报 经贸导报</w:t>
      </w:r>
    </w:p>
    <w:p w:rsidR="00481206" w:rsidRPr="00481206" w:rsidRDefault="00481206" w:rsidP="00481206">
      <w:pPr>
        <w:numPr>
          <w:ilvl w:val="0"/>
          <w:numId w:val="31"/>
        </w:numPr>
        <w:spacing w:line="360" w:lineRule="auto"/>
        <w:rPr>
          <w:sz w:val="24"/>
        </w:rPr>
      </w:pPr>
      <w:r w:rsidRPr="00481206">
        <w:rPr>
          <w:rFonts w:hint="eastAsia"/>
          <w:sz w:val="24"/>
        </w:rPr>
        <w:t>杂志类</w:t>
      </w:r>
    </w:p>
    <w:p w:rsidR="00481206" w:rsidRPr="00481206" w:rsidRDefault="00481206" w:rsidP="00481206">
      <w:pPr>
        <w:numPr>
          <w:ilvl w:val="0"/>
          <w:numId w:val="30"/>
        </w:numPr>
        <w:spacing w:line="360" w:lineRule="auto"/>
        <w:rPr>
          <w:rFonts w:ascii="宋体" w:hAnsi="宋体"/>
          <w:sz w:val="24"/>
        </w:rPr>
      </w:pPr>
      <w:r w:rsidRPr="00481206">
        <w:rPr>
          <w:rFonts w:ascii="宋体" w:hAnsi="宋体" w:hint="eastAsia"/>
          <w:sz w:val="24"/>
        </w:rPr>
        <w:t>《中国 MBA》杂志社</w:t>
      </w:r>
    </w:p>
    <w:p w:rsidR="00481206" w:rsidRPr="00481206" w:rsidRDefault="00481206" w:rsidP="00481206">
      <w:pPr>
        <w:numPr>
          <w:ilvl w:val="0"/>
          <w:numId w:val="30"/>
        </w:numPr>
        <w:spacing w:line="360" w:lineRule="auto"/>
        <w:rPr>
          <w:rFonts w:ascii="宋体" w:hAnsi="宋体"/>
          <w:sz w:val="24"/>
        </w:rPr>
      </w:pPr>
      <w:r w:rsidRPr="00481206">
        <w:rPr>
          <w:rFonts w:ascii="宋体" w:hAnsi="宋体" w:hint="eastAsia"/>
          <w:sz w:val="24"/>
        </w:rPr>
        <w:t>财会周刊</w:t>
      </w:r>
    </w:p>
    <w:p w:rsidR="00481206" w:rsidRPr="00481206" w:rsidRDefault="00481206" w:rsidP="00481206">
      <w:pPr>
        <w:numPr>
          <w:ilvl w:val="0"/>
          <w:numId w:val="30"/>
        </w:numPr>
        <w:spacing w:line="360" w:lineRule="auto"/>
        <w:rPr>
          <w:rFonts w:ascii="宋体" w:hAnsi="宋体"/>
          <w:sz w:val="24"/>
        </w:rPr>
      </w:pPr>
      <w:r w:rsidRPr="00481206">
        <w:rPr>
          <w:rFonts w:ascii="宋体" w:hAnsi="宋体" w:hint="eastAsia"/>
          <w:sz w:val="24"/>
        </w:rPr>
        <w:t>国际促销中心&lt;English&gt;</w:t>
      </w:r>
    </w:p>
    <w:p w:rsidR="00481206" w:rsidRPr="00481206" w:rsidRDefault="00481206" w:rsidP="00481206">
      <w:pPr>
        <w:numPr>
          <w:ilvl w:val="0"/>
          <w:numId w:val="30"/>
        </w:numPr>
        <w:spacing w:line="360" w:lineRule="auto"/>
        <w:rPr>
          <w:rFonts w:ascii="宋体" w:hAnsi="宋体"/>
          <w:sz w:val="24"/>
        </w:rPr>
      </w:pPr>
      <w:r w:rsidRPr="00481206">
        <w:rPr>
          <w:rFonts w:ascii="宋体" w:hAnsi="宋体" w:hint="eastAsia"/>
          <w:sz w:val="24"/>
        </w:rPr>
        <w:t xml:space="preserve">环球企业家　</w:t>
      </w:r>
      <w:bookmarkStart w:id="889" w:name="_Toc403319333"/>
      <w:bookmarkStart w:id="890" w:name="_Toc30997"/>
      <w:bookmarkStart w:id="891" w:name="_Toc31799"/>
      <w:bookmarkStart w:id="892" w:name="_Toc18896"/>
      <w:bookmarkStart w:id="893" w:name="_Toc403319318"/>
      <w:bookmarkStart w:id="894" w:name="_Toc30851"/>
      <w:bookmarkStart w:id="895" w:name="_Toc24594"/>
      <w:bookmarkStart w:id="896" w:name="_Toc30122"/>
    </w:p>
    <w:p w:rsidR="00481206" w:rsidRPr="00481206" w:rsidRDefault="00481206" w:rsidP="00481206">
      <w:pPr>
        <w:pStyle w:val="2"/>
        <w:spacing w:before="0" w:after="0" w:line="360" w:lineRule="auto"/>
        <w:jc w:val="center"/>
        <w:rPr>
          <w:rFonts w:ascii="黑体" w:hAnsi="黑体"/>
          <w:sz w:val="44"/>
        </w:rPr>
      </w:pPr>
      <w:bookmarkStart w:id="897" w:name="_Toc474271886"/>
      <w:r w:rsidRPr="00481206">
        <w:rPr>
          <w:rFonts w:ascii="黑体" w:hAnsi="黑体" w:hint="eastAsia"/>
          <w:sz w:val="44"/>
        </w:rPr>
        <w:lastRenderedPageBreak/>
        <w:t xml:space="preserve">13 </w:t>
      </w:r>
      <w:bookmarkEnd w:id="889"/>
      <w:bookmarkEnd w:id="890"/>
      <w:bookmarkEnd w:id="891"/>
      <w:bookmarkEnd w:id="892"/>
      <w:r w:rsidRPr="00481206">
        <w:rPr>
          <w:rFonts w:ascii="黑体" w:hAnsi="黑体" w:hint="eastAsia"/>
          <w:sz w:val="44"/>
        </w:rPr>
        <w:t>教学合约</w:t>
      </w:r>
      <w:bookmarkEnd w:id="897"/>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学术合作备忘录（契约）是制度供给的重要形式。在《</w:t>
      </w:r>
      <w:r w:rsidRPr="00481206">
        <w:rPr>
          <w:rFonts w:hint="eastAsia"/>
          <w:sz w:val="24"/>
        </w:rPr>
        <w:t>衍生金融产品概论</w:t>
      </w:r>
      <w:r w:rsidRPr="00481206">
        <w:rPr>
          <w:rFonts w:ascii="宋体" w:hAnsi="宋体" w:cs="宋体" w:hint="eastAsia"/>
          <w:sz w:val="24"/>
        </w:rPr>
        <w:t>》课程教学实施大纲的建设中，制度的形成具有必要性和重要性，它使得整个过程的实施变得可控，并更加富有效率。而保证这种可控性和效率性的关键，在于制度本身应该是在关联主体理解一致并付诸承诺的结果。有鉴于此，在推行《</w:t>
      </w:r>
      <w:r w:rsidRPr="00481206">
        <w:rPr>
          <w:rFonts w:hint="eastAsia"/>
          <w:sz w:val="24"/>
        </w:rPr>
        <w:t>衍生金融产品概论</w:t>
      </w:r>
      <w:r w:rsidRPr="00481206">
        <w:rPr>
          <w:rFonts w:ascii="宋体" w:hAnsi="宋体" w:cs="宋体" w:hint="eastAsia"/>
          <w:sz w:val="24"/>
        </w:rPr>
        <w:t>》课程教学实施大纲的过程中，作为主要的教与学的双方，应该为共同推进该大纲的实施订立契约，并关注以下两个环节：</w:t>
      </w:r>
    </w:p>
    <w:p w:rsidR="00481206" w:rsidRPr="00481206" w:rsidRDefault="00481206" w:rsidP="00481206">
      <w:pPr>
        <w:pStyle w:val="3"/>
        <w:spacing w:before="0" w:after="0" w:line="360" w:lineRule="auto"/>
        <w:rPr>
          <w:sz w:val="28"/>
          <w:szCs w:val="28"/>
        </w:rPr>
      </w:pPr>
      <w:bookmarkStart w:id="898" w:name="_Toc474271887"/>
      <w:bookmarkStart w:id="899" w:name="_Toc403319334"/>
      <w:bookmarkStart w:id="900" w:name="_Toc32202"/>
      <w:r w:rsidRPr="00481206">
        <w:rPr>
          <w:rFonts w:ascii="宋体" w:hAnsi="宋体" w:cs="宋体" w:hint="eastAsia"/>
          <w:sz w:val="28"/>
          <w:szCs w:val="28"/>
        </w:rPr>
        <w:t>13.1教师</w:t>
      </w:r>
      <w:r w:rsidRPr="00481206">
        <w:rPr>
          <w:rFonts w:hint="eastAsia"/>
          <w:sz w:val="28"/>
          <w:szCs w:val="28"/>
        </w:rPr>
        <w:t>作出师德师风承诺</w:t>
      </w:r>
      <w:bookmarkEnd w:id="898"/>
    </w:p>
    <w:p w:rsidR="00481206" w:rsidRPr="00481206" w:rsidRDefault="00481206" w:rsidP="00481206">
      <w:pPr>
        <w:pStyle w:val="af0"/>
        <w:shd w:val="clear" w:color="auto" w:fill="FFFFFF"/>
        <w:adjustRightInd w:val="0"/>
        <w:snapToGrid w:val="0"/>
        <w:spacing w:before="0" w:beforeAutospacing="0" w:after="0" w:afterAutospacing="0" w:line="360" w:lineRule="auto"/>
        <w:ind w:firstLineChars="200" w:firstLine="480"/>
        <w:rPr>
          <w:rFonts w:eastAsiaTheme="minorEastAsia"/>
          <w:kern w:val="2"/>
          <w:szCs w:val="22"/>
        </w:rPr>
      </w:pPr>
      <w:r w:rsidRPr="00481206">
        <w:rPr>
          <w:rFonts w:eastAsiaTheme="minorEastAsia"/>
          <w:kern w:val="2"/>
          <w:szCs w:val="22"/>
        </w:rPr>
        <w:t>一、全面贯彻党的教育方针，忠诚党的教育事业，爱岗敬业、依法从教、为人师表、遵纪守法、率先垂范。</w:t>
      </w:r>
    </w:p>
    <w:p w:rsidR="00481206" w:rsidRPr="00481206" w:rsidRDefault="00481206" w:rsidP="00481206">
      <w:pPr>
        <w:pStyle w:val="af0"/>
        <w:shd w:val="clear" w:color="auto" w:fill="FFFFFF"/>
        <w:adjustRightInd w:val="0"/>
        <w:snapToGrid w:val="0"/>
        <w:spacing w:before="0" w:beforeAutospacing="0" w:after="0" w:afterAutospacing="0" w:line="360" w:lineRule="auto"/>
        <w:ind w:firstLineChars="200" w:firstLine="480"/>
        <w:rPr>
          <w:rFonts w:eastAsiaTheme="minorEastAsia"/>
          <w:kern w:val="2"/>
          <w:szCs w:val="22"/>
        </w:rPr>
      </w:pPr>
      <w:r w:rsidRPr="00481206">
        <w:rPr>
          <w:rFonts w:eastAsiaTheme="minorEastAsia"/>
          <w:kern w:val="2"/>
          <w:szCs w:val="22"/>
        </w:rPr>
        <w:t>二、更新教育理念，遵循教育规律，积极探索教育教学方法，努力掌握现代化教育手段，促进学生全面发展。</w:t>
      </w:r>
    </w:p>
    <w:p w:rsidR="00481206" w:rsidRPr="00481206" w:rsidRDefault="00481206" w:rsidP="00481206">
      <w:pPr>
        <w:pStyle w:val="af0"/>
        <w:shd w:val="clear" w:color="auto" w:fill="FFFFFF"/>
        <w:adjustRightInd w:val="0"/>
        <w:snapToGrid w:val="0"/>
        <w:spacing w:before="0" w:beforeAutospacing="0" w:after="0" w:afterAutospacing="0" w:line="360" w:lineRule="auto"/>
        <w:ind w:firstLineChars="200" w:firstLine="480"/>
        <w:rPr>
          <w:rFonts w:eastAsiaTheme="minorEastAsia"/>
          <w:kern w:val="2"/>
          <w:szCs w:val="22"/>
        </w:rPr>
      </w:pPr>
      <w:r w:rsidRPr="00481206">
        <w:rPr>
          <w:rFonts w:eastAsiaTheme="minorEastAsia"/>
          <w:kern w:val="2"/>
          <w:szCs w:val="22"/>
        </w:rPr>
        <w:t>三、加强学习，严谨治教，积极钻研业务，认真搞好教学每一个环节，做到因材施教，注重学生个性发展。</w:t>
      </w:r>
    </w:p>
    <w:p w:rsidR="00481206" w:rsidRPr="00481206" w:rsidRDefault="00481206" w:rsidP="00481206">
      <w:pPr>
        <w:pStyle w:val="af0"/>
        <w:shd w:val="clear" w:color="auto" w:fill="FFFFFF"/>
        <w:adjustRightInd w:val="0"/>
        <w:snapToGrid w:val="0"/>
        <w:spacing w:before="0" w:beforeAutospacing="0" w:after="0" w:afterAutospacing="0" w:line="360" w:lineRule="auto"/>
        <w:ind w:firstLineChars="200" w:firstLine="480"/>
        <w:rPr>
          <w:rFonts w:eastAsiaTheme="minorEastAsia"/>
          <w:kern w:val="2"/>
          <w:szCs w:val="22"/>
        </w:rPr>
      </w:pPr>
      <w:r w:rsidRPr="00481206">
        <w:rPr>
          <w:rFonts w:eastAsiaTheme="minorEastAsia"/>
          <w:kern w:val="2"/>
          <w:szCs w:val="22"/>
        </w:rPr>
        <w:t>四、尊重学生人格，热爱学生。不歧视、侮辱、排斥、挖苦学习有困难的学生;不体罚或变相体罚学生;主动关心、帮扶困难学生。</w:t>
      </w:r>
    </w:p>
    <w:p w:rsidR="00481206" w:rsidRPr="00481206" w:rsidRDefault="00481206" w:rsidP="00481206">
      <w:pPr>
        <w:pStyle w:val="af0"/>
        <w:shd w:val="clear" w:color="auto" w:fill="FFFFFF"/>
        <w:adjustRightInd w:val="0"/>
        <w:snapToGrid w:val="0"/>
        <w:spacing w:before="0" w:beforeAutospacing="0" w:after="0" w:afterAutospacing="0" w:line="360" w:lineRule="auto"/>
        <w:ind w:firstLineChars="200" w:firstLine="480"/>
        <w:rPr>
          <w:rFonts w:eastAsiaTheme="minorEastAsia"/>
          <w:kern w:val="2"/>
          <w:szCs w:val="22"/>
        </w:rPr>
      </w:pPr>
      <w:r w:rsidRPr="00481206">
        <w:rPr>
          <w:rFonts w:eastAsiaTheme="minorEastAsia"/>
          <w:kern w:val="2"/>
          <w:szCs w:val="22"/>
        </w:rPr>
        <w:t>五、洁身自爱、廉洁从教、不乱罚款，不向学生家长谋私利，不接受学生家长吃请和礼品，不强制向学生推销</w:t>
      </w:r>
      <w:r w:rsidRPr="00481206">
        <w:rPr>
          <w:rFonts w:eastAsiaTheme="minorEastAsia" w:hint="eastAsia"/>
          <w:kern w:val="2"/>
          <w:szCs w:val="22"/>
        </w:rPr>
        <w:t>学习</w:t>
      </w:r>
      <w:r w:rsidRPr="00481206">
        <w:rPr>
          <w:rFonts w:eastAsiaTheme="minorEastAsia"/>
          <w:kern w:val="2"/>
          <w:szCs w:val="22"/>
        </w:rPr>
        <w:t>资料。</w:t>
      </w:r>
    </w:p>
    <w:p w:rsidR="00481206" w:rsidRPr="00481206" w:rsidRDefault="00481206" w:rsidP="00481206">
      <w:pPr>
        <w:pStyle w:val="af0"/>
        <w:shd w:val="clear" w:color="auto" w:fill="FFFFFF"/>
        <w:adjustRightInd w:val="0"/>
        <w:snapToGrid w:val="0"/>
        <w:spacing w:before="0" w:beforeAutospacing="0" w:after="0" w:afterAutospacing="0" w:line="360" w:lineRule="auto"/>
        <w:ind w:firstLineChars="200" w:firstLine="480"/>
        <w:rPr>
          <w:rFonts w:eastAsiaTheme="minorEastAsia"/>
          <w:kern w:val="2"/>
          <w:szCs w:val="22"/>
        </w:rPr>
      </w:pPr>
      <w:r w:rsidRPr="00481206">
        <w:rPr>
          <w:rFonts w:eastAsiaTheme="minorEastAsia"/>
          <w:kern w:val="2"/>
          <w:szCs w:val="22"/>
        </w:rPr>
        <w:t>六、为人师表，做到诚实、守信、公正、严格，注意自己的仪表举止，树立良好的师德形象。</w:t>
      </w:r>
    </w:p>
    <w:p w:rsidR="00481206" w:rsidRPr="00481206" w:rsidRDefault="00481206" w:rsidP="00481206">
      <w:pPr>
        <w:pStyle w:val="af0"/>
        <w:shd w:val="clear" w:color="auto" w:fill="FFFFFF"/>
        <w:adjustRightInd w:val="0"/>
        <w:snapToGrid w:val="0"/>
        <w:spacing w:before="0" w:beforeAutospacing="0" w:after="0" w:afterAutospacing="0" w:line="360" w:lineRule="auto"/>
        <w:ind w:firstLineChars="200" w:firstLine="480"/>
        <w:rPr>
          <w:rFonts w:eastAsiaTheme="minorEastAsia"/>
          <w:kern w:val="2"/>
          <w:szCs w:val="22"/>
        </w:rPr>
      </w:pPr>
      <w:r w:rsidRPr="00481206">
        <w:rPr>
          <w:rFonts w:eastAsiaTheme="minorEastAsia"/>
          <w:kern w:val="2"/>
          <w:szCs w:val="22"/>
        </w:rPr>
        <w:t>七、遵守劳动纪律，上课不迟到、不早退，在教学工作中，使用职业语言和文明用语。</w:t>
      </w:r>
    </w:p>
    <w:p w:rsidR="00481206" w:rsidRPr="00481206" w:rsidRDefault="00481206" w:rsidP="00481206">
      <w:pPr>
        <w:pStyle w:val="3"/>
        <w:spacing w:before="0" w:after="0" w:line="360" w:lineRule="auto"/>
        <w:rPr>
          <w:rFonts w:ascii="宋体" w:hAnsi="宋体" w:cs="宋体"/>
          <w:sz w:val="28"/>
          <w:szCs w:val="28"/>
        </w:rPr>
      </w:pPr>
      <w:bookmarkStart w:id="901" w:name="_Toc474271888"/>
      <w:r w:rsidRPr="00481206">
        <w:rPr>
          <w:rFonts w:ascii="宋体" w:hAnsi="宋体" w:cs="宋体" w:hint="eastAsia"/>
          <w:sz w:val="28"/>
          <w:szCs w:val="28"/>
        </w:rPr>
        <w:t>13.2阅读课程实施大纲，理解其内容</w:t>
      </w:r>
      <w:bookmarkEnd w:id="899"/>
      <w:bookmarkEnd w:id="900"/>
      <w:bookmarkEnd w:id="901"/>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教师与学生在宣示的基础上，充分了解课程实施大纲并理解其内容，达成意思一致。</w:t>
      </w:r>
    </w:p>
    <w:p w:rsidR="00481206" w:rsidRPr="00481206" w:rsidRDefault="00481206" w:rsidP="00481206">
      <w:pPr>
        <w:pStyle w:val="3"/>
        <w:spacing w:before="0" w:after="0" w:line="360" w:lineRule="auto"/>
        <w:rPr>
          <w:rFonts w:ascii="宋体" w:hAnsi="宋体" w:cs="宋体"/>
          <w:sz w:val="28"/>
          <w:szCs w:val="28"/>
        </w:rPr>
      </w:pPr>
      <w:bookmarkStart w:id="902" w:name="_Toc403319335"/>
      <w:bookmarkStart w:id="903" w:name="_Toc9996"/>
      <w:bookmarkStart w:id="904" w:name="_Toc474271889"/>
      <w:r w:rsidRPr="00481206">
        <w:rPr>
          <w:rFonts w:ascii="宋体" w:hAnsi="宋体" w:cs="宋体" w:hint="eastAsia"/>
          <w:sz w:val="28"/>
          <w:szCs w:val="28"/>
        </w:rPr>
        <w:t>13.3同意遵守课程实施大纲中阐述的标准和期望</w:t>
      </w:r>
      <w:bookmarkEnd w:id="902"/>
      <w:bookmarkEnd w:id="903"/>
      <w:bookmarkEnd w:id="904"/>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教师与学生双方在对课程教学大纲相关规定理解一致的基础上，应该就课程实施大纲中阐述的原则、标准和期望等，作出愿意接受约束的承诺或意思表达。</w:t>
      </w:r>
    </w:p>
    <w:p w:rsidR="00481206" w:rsidRPr="00481206" w:rsidRDefault="00481206" w:rsidP="00481206">
      <w:pPr>
        <w:spacing w:line="360" w:lineRule="auto"/>
        <w:ind w:firstLine="480"/>
        <w:rPr>
          <w:rFonts w:ascii="宋体" w:hAnsi="宋体" w:cs="宋体"/>
          <w:sz w:val="24"/>
        </w:rPr>
      </w:pPr>
      <w:r w:rsidRPr="00481206">
        <w:rPr>
          <w:rFonts w:ascii="宋体" w:hAnsi="宋体" w:cs="宋体" w:hint="eastAsia"/>
          <w:sz w:val="24"/>
        </w:rPr>
        <w:t>为规范契约行为过程，并强化契约的约束力，提升其可执行力，可设计格式化契约，</w:t>
      </w:r>
      <w:r w:rsidRPr="00481206">
        <w:rPr>
          <w:rFonts w:ascii="宋体" w:hAnsi="宋体" w:cs="宋体" w:hint="eastAsia"/>
          <w:sz w:val="24"/>
        </w:rPr>
        <w:lastRenderedPageBreak/>
        <w:t>由教师与学生签名确认，作为证明意思表达一致和承诺的依据。契约设计格式如表13.2-1所示：</w:t>
      </w:r>
    </w:p>
    <w:p w:rsidR="00481206" w:rsidRPr="00481206" w:rsidRDefault="00481206" w:rsidP="005318D5">
      <w:pPr>
        <w:spacing w:afterLines="50" w:line="360" w:lineRule="auto"/>
        <w:jc w:val="center"/>
        <w:rPr>
          <w:rFonts w:ascii="黑体" w:eastAsia="黑体" w:hAnsi="黑体" w:cs="黑体"/>
          <w:bCs/>
          <w:szCs w:val="21"/>
        </w:rPr>
      </w:pPr>
      <w:r w:rsidRPr="00481206">
        <w:rPr>
          <w:rFonts w:ascii="黑体" w:eastAsia="黑体" w:hAnsi="黑体" w:cs="黑体" w:hint="eastAsia"/>
          <w:bCs/>
          <w:szCs w:val="21"/>
        </w:rPr>
        <w:t>表13.2-1   诚信格式化契约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2"/>
      </w:tblGrid>
      <w:tr w:rsidR="00481206" w:rsidRPr="00481206" w:rsidTr="00CF0F4C">
        <w:trPr>
          <w:jc w:val="center"/>
        </w:trPr>
        <w:tc>
          <w:tcPr>
            <w:tcW w:w="8522" w:type="dxa"/>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学术合作格式化简明契约</w:t>
            </w:r>
          </w:p>
          <w:p w:rsidR="00481206" w:rsidRPr="00481206" w:rsidRDefault="00481206" w:rsidP="00CF0F4C">
            <w:pPr>
              <w:spacing w:line="360" w:lineRule="auto"/>
              <w:jc w:val="left"/>
              <w:rPr>
                <w:rFonts w:ascii="宋体" w:hAnsi="宋体" w:cs="宋体"/>
                <w:sz w:val="24"/>
                <w:u w:val="single"/>
              </w:rPr>
            </w:pPr>
            <w:r w:rsidRPr="00481206">
              <w:rPr>
                <w:rFonts w:ascii="宋体" w:hAnsi="宋体" w:cs="宋体" w:hint="eastAsia"/>
                <w:sz w:val="24"/>
              </w:rPr>
              <w:t>甲方（教师）：</w:t>
            </w:r>
            <w:r w:rsidRPr="00481206">
              <w:rPr>
                <w:rFonts w:ascii="宋体" w:hAnsi="宋体" w:cs="宋体" w:hint="eastAsia"/>
                <w:sz w:val="24"/>
                <w:u w:val="single"/>
              </w:rPr>
              <w:t xml:space="preserve">                  </w:t>
            </w:r>
          </w:p>
          <w:p w:rsidR="00481206" w:rsidRPr="00481206" w:rsidRDefault="00481206" w:rsidP="00CF0F4C">
            <w:pPr>
              <w:spacing w:line="360" w:lineRule="auto"/>
              <w:jc w:val="left"/>
              <w:rPr>
                <w:rFonts w:ascii="宋体" w:hAnsi="宋体" w:cs="宋体"/>
                <w:sz w:val="24"/>
                <w:u w:val="single"/>
              </w:rPr>
            </w:pPr>
            <w:r w:rsidRPr="00481206">
              <w:rPr>
                <w:rFonts w:ascii="宋体" w:hAnsi="宋体" w:cs="宋体" w:hint="eastAsia"/>
                <w:sz w:val="24"/>
              </w:rPr>
              <w:t>乙方（学生）：</w:t>
            </w:r>
            <w:r w:rsidRPr="00481206">
              <w:rPr>
                <w:rFonts w:ascii="宋体" w:hAnsi="宋体" w:cs="宋体" w:hint="eastAsia"/>
                <w:sz w:val="24"/>
                <w:u w:val="single"/>
              </w:rPr>
              <w:t xml:space="preserve">                  </w:t>
            </w:r>
          </w:p>
          <w:p w:rsidR="00481206" w:rsidRPr="00481206" w:rsidRDefault="00481206" w:rsidP="00CF0F4C">
            <w:pPr>
              <w:spacing w:line="360" w:lineRule="auto"/>
              <w:jc w:val="left"/>
              <w:rPr>
                <w:rFonts w:ascii="宋体" w:hAnsi="宋体" w:cs="宋体"/>
                <w:sz w:val="24"/>
              </w:rPr>
            </w:pPr>
          </w:p>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 xml:space="preserve">    为规范《</w:t>
            </w:r>
            <w:r w:rsidRPr="00481206">
              <w:rPr>
                <w:rFonts w:hint="eastAsia"/>
                <w:sz w:val="24"/>
              </w:rPr>
              <w:t>衍生金融产品概论</w:t>
            </w:r>
            <w:r w:rsidRPr="00481206">
              <w:rPr>
                <w:rFonts w:ascii="宋体" w:hAnsi="宋体" w:cs="宋体" w:hint="eastAsia"/>
                <w:sz w:val="24"/>
              </w:rPr>
              <w:t>》课程教学行为过程，实现教与学的有机统一，提升教与学的绩效，兹决定在以上表述的基础上，就未来《</w:t>
            </w:r>
            <w:r w:rsidRPr="00481206">
              <w:rPr>
                <w:rFonts w:hint="eastAsia"/>
                <w:sz w:val="24"/>
              </w:rPr>
              <w:t>衍生金融产品概论</w:t>
            </w:r>
            <w:r w:rsidRPr="00481206">
              <w:rPr>
                <w:rFonts w:ascii="宋体" w:hAnsi="宋体" w:cs="宋体" w:hint="eastAsia"/>
                <w:sz w:val="24"/>
              </w:rPr>
              <w:t>》课程实施大纲的执行，约定如下：</w:t>
            </w:r>
          </w:p>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 xml:space="preserve">    1、教师与学员在宣示的基础上，充分了解了课程实施大纲并理解其内容，达成意思一致；</w:t>
            </w:r>
          </w:p>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 xml:space="preserve">    2、教师与学员双方都同意遵守课程实施大纲中阐述的原则、标准和期望。</w:t>
            </w:r>
          </w:p>
          <w:p w:rsidR="00481206" w:rsidRPr="00481206" w:rsidRDefault="00481206" w:rsidP="00CF0F4C">
            <w:pPr>
              <w:spacing w:line="360" w:lineRule="auto"/>
              <w:jc w:val="left"/>
              <w:rPr>
                <w:rFonts w:ascii="宋体" w:hAnsi="宋体" w:cs="宋体"/>
                <w:sz w:val="24"/>
              </w:rPr>
            </w:pPr>
          </w:p>
          <w:p w:rsidR="00481206" w:rsidRPr="00481206" w:rsidRDefault="00481206" w:rsidP="00CF0F4C">
            <w:pPr>
              <w:spacing w:line="360" w:lineRule="auto"/>
              <w:jc w:val="left"/>
              <w:rPr>
                <w:rFonts w:ascii="宋体" w:hAnsi="宋体" w:cs="宋体"/>
                <w:sz w:val="24"/>
                <w:u w:val="single"/>
              </w:rPr>
            </w:pPr>
            <w:r w:rsidRPr="00481206">
              <w:rPr>
                <w:rFonts w:ascii="宋体" w:hAnsi="宋体" w:cs="宋体" w:hint="eastAsia"/>
                <w:sz w:val="24"/>
              </w:rPr>
              <w:t>甲方（签字盖章）：</w:t>
            </w:r>
            <w:r w:rsidRPr="00481206">
              <w:rPr>
                <w:rFonts w:ascii="宋体" w:hAnsi="宋体" w:cs="宋体" w:hint="eastAsia"/>
                <w:sz w:val="24"/>
                <w:u w:val="single"/>
              </w:rPr>
              <w:t xml:space="preserve">                </w:t>
            </w:r>
          </w:p>
          <w:p w:rsidR="00481206" w:rsidRPr="00481206" w:rsidRDefault="00481206" w:rsidP="00CF0F4C">
            <w:pPr>
              <w:spacing w:line="360" w:lineRule="auto"/>
              <w:jc w:val="left"/>
              <w:rPr>
                <w:rFonts w:ascii="宋体" w:hAnsi="宋体" w:cs="宋体"/>
                <w:sz w:val="24"/>
                <w:u w:val="single"/>
              </w:rPr>
            </w:pPr>
            <w:r w:rsidRPr="00481206">
              <w:rPr>
                <w:rFonts w:ascii="宋体" w:hAnsi="宋体" w:cs="宋体" w:hint="eastAsia"/>
                <w:sz w:val="24"/>
              </w:rPr>
              <w:t>乙方（签字盖章）：</w:t>
            </w:r>
            <w:r w:rsidRPr="00481206">
              <w:rPr>
                <w:rFonts w:ascii="宋体" w:hAnsi="宋体" w:cs="宋体" w:hint="eastAsia"/>
                <w:sz w:val="24"/>
                <w:u w:val="single"/>
              </w:rPr>
              <w:t xml:space="preserve">                </w:t>
            </w:r>
          </w:p>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（乙方签名方式采用推举20学生代表的形式实施）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8"/>
              <w:gridCol w:w="1658"/>
              <w:gridCol w:w="1658"/>
              <w:gridCol w:w="1658"/>
              <w:gridCol w:w="1659"/>
            </w:tblGrid>
            <w:tr w:rsidR="00481206" w:rsidRPr="00481206" w:rsidTr="00CF0F4C">
              <w:tc>
                <w:tcPr>
                  <w:tcW w:w="1658" w:type="dxa"/>
                </w:tcPr>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1</w:t>
                  </w:r>
                </w:p>
              </w:tc>
              <w:tc>
                <w:tcPr>
                  <w:tcW w:w="1658" w:type="dxa"/>
                </w:tcPr>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2</w:t>
                  </w:r>
                </w:p>
              </w:tc>
              <w:tc>
                <w:tcPr>
                  <w:tcW w:w="1658" w:type="dxa"/>
                </w:tcPr>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3</w:t>
                  </w:r>
                </w:p>
              </w:tc>
              <w:tc>
                <w:tcPr>
                  <w:tcW w:w="1658" w:type="dxa"/>
                </w:tcPr>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4</w:t>
                  </w:r>
                </w:p>
              </w:tc>
              <w:tc>
                <w:tcPr>
                  <w:tcW w:w="1659" w:type="dxa"/>
                </w:tcPr>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5</w:t>
                  </w:r>
                </w:p>
              </w:tc>
            </w:tr>
            <w:tr w:rsidR="00481206" w:rsidRPr="00481206" w:rsidTr="00CF0F4C">
              <w:tc>
                <w:tcPr>
                  <w:tcW w:w="1658" w:type="dxa"/>
                </w:tcPr>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6</w:t>
                  </w:r>
                </w:p>
              </w:tc>
              <w:tc>
                <w:tcPr>
                  <w:tcW w:w="1658" w:type="dxa"/>
                </w:tcPr>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7</w:t>
                  </w:r>
                </w:p>
              </w:tc>
              <w:tc>
                <w:tcPr>
                  <w:tcW w:w="1658" w:type="dxa"/>
                </w:tcPr>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8</w:t>
                  </w:r>
                </w:p>
              </w:tc>
              <w:tc>
                <w:tcPr>
                  <w:tcW w:w="1658" w:type="dxa"/>
                </w:tcPr>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9</w:t>
                  </w:r>
                </w:p>
              </w:tc>
              <w:tc>
                <w:tcPr>
                  <w:tcW w:w="1659" w:type="dxa"/>
                </w:tcPr>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10</w:t>
                  </w:r>
                </w:p>
              </w:tc>
            </w:tr>
            <w:tr w:rsidR="00481206" w:rsidRPr="00481206" w:rsidTr="00CF0F4C">
              <w:tc>
                <w:tcPr>
                  <w:tcW w:w="1658" w:type="dxa"/>
                </w:tcPr>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11</w:t>
                  </w:r>
                </w:p>
              </w:tc>
              <w:tc>
                <w:tcPr>
                  <w:tcW w:w="1658" w:type="dxa"/>
                </w:tcPr>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12</w:t>
                  </w:r>
                </w:p>
              </w:tc>
              <w:tc>
                <w:tcPr>
                  <w:tcW w:w="1658" w:type="dxa"/>
                </w:tcPr>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13</w:t>
                  </w:r>
                </w:p>
              </w:tc>
              <w:tc>
                <w:tcPr>
                  <w:tcW w:w="1658" w:type="dxa"/>
                </w:tcPr>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14</w:t>
                  </w:r>
                </w:p>
              </w:tc>
              <w:tc>
                <w:tcPr>
                  <w:tcW w:w="1659" w:type="dxa"/>
                </w:tcPr>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15</w:t>
                  </w:r>
                </w:p>
              </w:tc>
            </w:tr>
            <w:tr w:rsidR="00481206" w:rsidRPr="00481206" w:rsidTr="00CF0F4C">
              <w:tc>
                <w:tcPr>
                  <w:tcW w:w="1658" w:type="dxa"/>
                </w:tcPr>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16</w:t>
                  </w:r>
                </w:p>
              </w:tc>
              <w:tc>
                <w:tcPr>
                  <w:tcW w:w="1658" w:type="dxa"/>
                </w:tcPr>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17</w:t>
                  </w:r>
                </w:p>
              </w:tc>
              <w:tc>
                <w:tcPr>
                  <w:tcW w:w="1658" w:type="dxa"/>
                </w:tcPr>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18</w:t>
                  </w:r>
                </w:p>
              </w:tc>
              <w:tc>
                <w:tcPr>
                  <w:tcW w:w="1658" w:type="dxa"/>
                </w:tcPr>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19</w:t>
                  </w:r>
                </w:p>
              </w:tc>
              <w:tc>
                <w:tcPr>
                  <w:tcW w:w="1659" w:type="dxa"/>
                </w:tcPr>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20</w:t>
                  </w:r>
                </w:p>
              </w:tc>
            </w:tr>
          </w:tbl>
          <w:p w:rsidR="00481206" w:rsidRPr="00481206" w:rsidRDefault="00481206" w:rsidP="00CF0F4C">
            <w:pPr>
              <w:spacing w:line="360" w:lineRule="auto"/>
              <w:jc w:val="left"/>
              <w:rPr>
                <w:rFonts w:ascii="宋体" w:hAnsi="宋体" w:cs="宋体"/>
                <w:sz w:val="24"/>
              </w:rPr>
            </w:pPr>
            <w:r w:rsidRPr="00481206">
              <w:rPr>
                <w:rFonts w:ascii="宋体" w:hAnsi="宋体" w:cs="宋体" w:hint="eastAsia"/>
                <w:sz w:val="24"/>
              </w:rPr>
              <w:t xml:space="preserve">                                               时间：2014年11月11日</w:t>
            </w:r>
          </w:p>
          <w:p w:rsidR="00481206" w:rsidRPr="00481206" w:rsidRDefault="00481206" w:rsidP="00CF0F4C">
            <w:pPr>
              <w:spacing w:line="360" w:lineRule="auto"/>
              <w:jc w:val="left"/>
              <w:rPr>
                <w:rFonts w:ascii="宋体" w:hAnsi="宋体" w:cs="宋体"/>
                <w:sz w:val="24"/>
              </w:rPr>
            </w:pPr>
          </w:p>
        </w:tc>
      </w:tr>
    </w:tbl>
    <w:p w:rsidR="00481206" w:rsidRPr="00481206" w:rsidRDefault="00481206" w:rsidP="00481206">
      <w:pPr>
        <w:spacing w:line="360" w:lineRule="auto"/>
        <w:rPr>
          <w:rFonts w:ascii="宋体" w:hAnsi="宋体" w:cs="宋体"/>
          <w:b/>
          <w:sz w:val="24"/>
        </w:rPr>
      </w:pPr>
    </w:p>
    <w:p w:rsidR="00481206" w:rsidRPr="00481206" w:rsidRDefault="00481206" w:rsidP="00481206">
      <w:pPr>
        <w:pStyle w:val="2"/>
        <w:spacing w:before="0" w:after="0" w:line="360" w:lineRule="auto"/>
        <w:jc w:val="center"/>
        <w:rPr>
          <w:rFonts w:ascii="黑体" w:hAnsi="黑体" w:cs="宋体"/>
          <w:sz w:val="44"/>
          <w:szCs w:val="24"/>
        </w:rPr>
      </w:pPr>
      <w:r w:rsidRPr="00481206">
        <w:rPr>
          <w:rFonts w:ascii="宋体" w:eastAsia="宋体" w:hAnsi="宋体" w:cs="宋体" w:hint="eastAsia"/>
          <w:sz w:val="24"/>
          <w:szCs w:val="24"/>
        </w:rPr>
        <w:br w:type="page"/>
      </w:r>
      <w:bookmarkStart w:id="905" w:name="_Toc474271890"/>
      <w:r w:rsidRPr="00481206">
        <w:rPr>
          <w:rFonts w:ascii="黑体" w:hAnsi="黑体" w:cs="宋体" w:hint="eastAsia"/>
          <w:sz w:val="44"/>
          <w:szCs w:val="44"/>
        </w:rPr>
        <w:lastRenderedPageBreak/>
        <w:t>14 其他必要说明（或建议）</w:t>
      </w:r>
      <w:bookmarkEnd w:id="893"/>
      <w:bookmarkEnd w:id="894"/>
      <w:bookmarkEnd w:id="895"/>
      <w:bookmarkEnd w:id="896"/>
      <w:bookmarkEnd w:id="905"/>
    </w:p>
    <w:p w:rsidR="00481206" w:rsidRPr="00481206" w:rsidRDefault="00481206" w:rsidP="00481206">
      <w:pPr>
        <w:pStyle w:val="3"/>
        <w:spacing w:before="0" w:after="0" w:line="360" w:lineRule="auto"/>
        <w:rPr>
          <w:rFonts w:ascii="宋体" w:hAnsi="宋体" w:cs="宋体"/>
          <w:sz w:val="28"/>
          <w:szCs w:val="28"/>
        </w:rPr>
      </w:pPr>
      <w:bookmarkStart w:id="906" w:name="_Toc403319319"/>
      <w:bookmarkStart w:id="907" w:name="_Toc19331"/>
      <w:bookmarkStart w:id="908" w:name="_Toc474271891"/>
      <w:r w:rsidRPr="00481206">
        <w:rPr>
          <w:rFonts w:ascii="宋体" w:hAnsi="宋体" w:cs="宋体" w:hint="eastAsia"/>
          <w:sz w:val="28"/>
          <w:szCs w:val="28"/>
        </w:rPr>
        <w:t>14.1课程大纲的实施原则问题</w:t>
      </w:r>
      <w:bookmarkEnd w:id="906"/>
      <w:bookmarkEnd w:id="907"/>
      <w:bookmarkEnd w:id="908"/>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作为《</w:t>
      </w:r>
      <w:r w:rsidRPr="00481206">
        <w:rPr>
          <w:rFonts w:hint="eastAsia"/>
          <w:sz w:val="24"/>
        </w:rPr>
        <w:t>衍生金融产品概论</w:t>
      </w:r>
      <w:r w:rsidRPr="00481206">
        <w:rPr>
          <w:rFonts w:ascii="宋体" w:hAnsi="宋体" w:cs="宋体" w:hint="eastAsia"/>
          <w:sz w:val="24"/>
        </w:rPr>
        <w:t>》课程教学大纲实施所必须遵守的行为规范，原则的确立是大纲行为控制的必要前提。大纲实施原则如表14.1-1所示：</w:t>
      </w:r>
    </w:p>
    <w:p w:rsidR="00481206" w:rsidRPr="00481206" w:rsidRDefault="00481206" w:rsidP="00481206">
      <w:pPr>
        <w:spacing w:line="360" w:lineRule="auto"/>
        <w:jc w:val="center"/>
        <w:rPr>
          <w:rFonts w:ascii="黑体" w:eastAsia="黑体" w:hAnsi="黑体" w:cs="黑体"/>
          <w:bCs/>
          <w:szCs w:val="21"/>
        </w:rPr>
      </w:pPr>
      <w:r w:rsidRPr="00481206">
        <w:rPr>
          <w:rFonts w:ascii="黑体" w:eastAsia="黑体" w:hAnsi="黑体" w:cs="黑体" w:hint="eastAsia"/>
          <w:bCs/>
          <w:szCs w:val="21"/>
        </w:rPr>
        <w:t>表14.1-1  课程大纲的实施原则及解释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6"/>
        <w:gridCol w:w="3996"/>
      </w:tblGrid>
      <w:tr w:rsidR="00481206" w:rsidRPr="00481206" w:rsidTr="00CF0F4C">
        <w:trPr>
          <w:trHeight w:val="145"/>
          <w:jc w:val="center"/>
        </w:trPr>
        <w:tc>
          <w:tcPr>
            <w:tcW w:w="2556" w:type="dxa"/>
            <w:vMerge w:val="restart"/>
            <w:vAlign w:val="center"/>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诚实、守信、理性</w:t>
            </w:r>
          </w:p>
        </w:tc>
        <w:tc>
          <w:tcPr>
            <w:tcW w:w="3996" w:type="dxa"/>
          </w:tcPr>
          <w:p w:rsidR="00481206" w:rsidRPr="00481206" w:rsidRDefault="00481206" w:rsidP="00CF0F4C">
            <w:pPr>
              <w:spacing w:line="360" w:lineRule="auto"/>
              <w:rPr>
                <w:rFonts w:ascii="宋体" w:hAnsi="宋体" w:cs="宋体"/>
                <w:sz w:val="24"/>
              </w:rPr>
            </w:pPr>
            <w:r w:rsidRPr="00481206">
              <w:rPr>
                <w:rFonts w:ascii="宋体" w:hAnsi="宋体" w:cs="宋体" w:hint="eastAsia"/>
                <w:sz w:val="24"/>
              </w:rPr>
              <w:t>以诚实为大纲实施过程规范的基础</w:t>
            </w:r>
          </w:p>
        </w:tc>
      </w:tr>
      <w:tr w:rsidR="00481206" w:rsidRPr="00481206" w:rsidTr="00CF0F4C">
        <w:trPr>
          <w:trHeight w:val="145"/>
          <w:jc w:val="center"/>
        </w:trPr>
        <w:tc>
          <w:tcPr>
            <w:tcW w:w="2556" w:type="dxa"/>
            <w:vMerge/>
            <w:vAlign w:val="center"/>
          </w:tcPr>
          <w:p w:rsidR="00481206" w:rsidRPr="00481206" w:rsidRDefault="00481206" w:rsidP="00CF0F4C">
            <w:pPr>
              <w:spacing w:line="360" w:lineRule="auto"/>
              <w:jc w:val="center"/>
              <w:rPr>
                <w:rFonts w:ascii="宋体" w:hAnsi="宋体" w:cs="宋体"/>
                <w:b/>
                <w:sz w:val="24"/>
              </w:rPr>
            </w:pPr>
          </w:p>
        </w:tc>
        <w:tc>
          <w:tcPr>
            <w:tcW w:w="3996" w:type="dxa"/>
          </w:tcPr>
          <w:p w:rsidR="00481206" w:rsidRPr="00481206" w:rsidRDefault="00481206" w:rsidP="00CF0F4C">
            <w:pPr>
              <w:spacing w:line="360" w:lineRule="auto"/>
              <w:rPr>
                <w:rFonts w:ascii="宋体" w:hAnsi="宋体" w:cs="宋体"/>
                <w:sz w:val="24"/>
              </w:rPr>
            </w:pPr>
            <w:r w:rsidRPr="00481206">
              <w:rPr>
                <w:rFonts w:ascii="宋体" w:hAnsi="宋体" w:cs="宋体" w:hint="eastAsia"/>
                <w:sz w:val="24"/>
              </w:rPr>
              <w:t>以诚信为大纲实施制度贯彻的保障</w:t>
            </w:r>
          </w:p>
        </w:tc>
      </w:tr>
      <w:tr w:rsidR="00481206" w:rsidRPr="00481206" w:rsidTr="00CF0F4C">
        <w:trPr>
          <w:trHeight w:val="145"/>
          <w:jc w:val="center"/>
        </w:trPr>
        <w:tc>
          <w:tcPr>
            <w:tcW w:w="2556" w:type="dxa"/>
            <w:vMerge/>
            <w:vAlign w:val="center"/>
          </w:tcPr>
          <w:p w:rsidR="00481206" w:rsidRPr="00481206" w:rsidRDefault="00481206" w:rsidP="00CF0F4C">
            <w:pPr>
              <w:spacing w:line="360" w:lineRule="auto"/>
              <w:jc w:val="center"/>
              <w:rPr>
                <w:rFonts w:ascii="宋体" w:hAnsi="宋体" w:cs="宋体"/>
                <w:b/>
                <w:sz w:val="24"/>
              </w:rPr>
            </w:pPr>
          </w:p>
        </w:tc>
        <w:tc>
          <w:tcPr>
            <w:tcW w:w="3996" w:type="dxa"/>
          </w:tcPr>
          <w:p w:rsidR="00481206" w:rsidRPr="00481206" w:rsidRDefault="00481206" w:rsidP="00CF0F4C">
            <w:pPr>
              <w:spacing w:line="360" w:lineRule="auto"/>
              <w:rPr>
                <w:rFonts w:ascii="宋体" w:hAnsi="宋体" w:cs="宋体"/>
                <w:sz w:val="24"/>
              </w:rPr>
            </w:pPr>
            <w:r w:rsidRPr="00481206">
              <w:rPr>
                <w:rFonts w:ascii="宋体" w:hAnsi="宋体" w:cs="宋体" w:hint="eastAsia"/>
                <w:sz w:val="24"/>
              </w:rPr>
              <w:t>以理性为大纲实施行为推进的根据</w:t>
            </w:r>
          </w:p>
        </w:tc>
      </w:tr>
      <w:tr w:rsidR="00481206" w:rsidRPr="00481206" w:rsidTr="00CF0F4C">
        <w:trPr>
          <w:trHeight w:val="145"/>
          <w:jc w:val="center"/>
        </w:trPr>
        <w:tc>
          <w:tcPr>
            <w:tcW w:w="2556" w:type="dxa"/>
            <w:vMerge w:val="restart"/>
            <w:vAlign w:val="center"/>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善良、奔放、儒雅</w:t>
            </w:r>
          </w:p>
        </w:tc>
        <w:tc>
          <w:tcPr>
            <w:tcW w:w="3996" w:type="dxa"/>
          </w:tcPr>
          <w:p w:rsidR="00481206" w:rsidRPr="00481206" w:rsidRDefault="00481206" w:rsidP="00CF0F4C">
            <w:pPr>
              <w:spacing w:line="360" w:lineRule="auto"/>
              <w:rPr>
                <w:rFonts w:ascii="宋体" w:hAnsi="宋体" w:cs="宋体"/>
                <w:sz w:val="24"/>
              </w:rPr>
            </w:pPr>
            <w:r w:rsidRPr="00481206">
              <w:rPr>
                <w:rFonts w:ascii="宋体" w:hAnsi="宋体" w:cs="宋体" w:hint="eastAsia"/>
                <w:sz w:val="24"/>
              </w:rPr>
              <w:t>在行为中融入善良的品格</w:t>
            </w:r>
          </w:p>
        </w:tc>
      </w:tr>
      <w:tr w:rsidR="00481206" w:rsidRPr="00481206" w:rsidTr="00CF0F4C">
        <w:trPr>
          <w:trHeight w:val="145"/>
          <w:jc w:val="center"/>
        </w:trPr>
        <w:tc>
          <w:tcPr>
            <w:tcW w:w="2556" w:type="dxa"/>
            <w:vMerge/>
            <w:vAlign w:val="center"/>
          </w:tcPr>
          <w:p w:rsidR="00481206" w:rsidRPr="00481206" w:rsidRDefault="00481206" w:rsidP="00CF0F4C">
            <w:pPr>
              <w:spacing w:line="360" w:lineRule="auto"/>
              <w:jc w:val="center"/>
              <w:rPr>
                <w:rFonts w:ascii="宋体" w:hAnsi="宋体" w:cs="宋体"/>
                <w:b/>
                <w:sz w:val="24"/>
              </w:rPr>
            </w:pPr>
          </w:p>
        </w:tc>
        <w:tc>
          <w:tcPr>
            <w:tcW w:w="3996" w:type="dxa"/>
          </w:tcPr>
          <w:p w:rsidR="00481206" w:rsidRPr="00481206" w:rsidRDefault="00481206" w:rsidP="00CF0F4C">
            <w:pPr>
              <w:spacing w:line="360" w:lineRule="auto"/>
              <w:rPr>
                <w:rFonts w:ascii="宋体" w:hAnsi="宋体" w:cs="宋体"/>
                <w:sz w:val="24"/>
              </w:rPr>
            </w:pPr>
            <w:r w:rsidRPr="00481206">
              <w:rPr>
                <w:rFonts w:ascii="宋体" w:hAnsi="宋体" w:cs="宋体" w:hint="eastAsia"/>
                <w:sz w:val="24"/>
              </w:rPr>
              <w:t>在行为中展现奔放的热情</w:t>
            </w:r>
          </w:p>
        </w:tc>
      </w:tr>
      <w:tr w:rsidR="00481206" w:rsidRPr="00481206" w:rsidTr="00CF0F4C">
        <w:trPr>
          <w:trHeight w:val="145"/>
          <w:jc w:val="center"/>
        </w:trPr>
        <w:tc>
          <w:tcPr>
            <w:tcW w:w="2556" w:type="dxa"/>
            <w:vMerge/>
            <w:vAlign w:val="center"/>
          </w:tcPr>
          <w:p w:rsidR="00481206" w:rsidRPr="00481206" w:rsidRDefault="00481206" w:rsidP="00CF0F4C">
            <w:pPr>
              <w:spacing w:line="360" w:lineRule="auto"/>
              <w:jc w:val="center"/>
              <w:rPr>
                <w:rFonts w:ascii="宋体" w:hAnsi="宋体" w:cs="宋体"/>
                <w:b/>
                <w:sz w:val="24"/>
              </w:rPr>
            </w:pPr>
          </w:p>
        </w:tc>
        <w:tc>
          <w:tcPr>
            <w:tcW w:w="3996" w:type="dxa"/>
          </w:tcPr>
          <w:p w:rsidR="00481206" w:rsidRPr="00481206" w:rsidRDefault="00481206" w:rsidP="00CF0F4C">
            <w:pPr>
              <w:spacing w:line="360" w:lineRule="auto"/>
              <w:rPr>
                <w:rFonts w:ascii="宋体" w:hAnsi="宋体" w:cs="宋体"/>
                <w:sz w:val="24"/>
              </w:rPr>
            </w:pPr>
            <w:r w:rsidRPr="00481206">
              <w:rPr>
                <w:rFonts w:ascii="宋体" w:hAnsi="宋体" w:cs="宋体" w:hint="eastAsia"/>
                <w:sz w:val="24"/>
              </w:rPr>
              <w:t>在行为中锤炼儒雅的气质</w:t>
            </w:r>
          </w:p>
        </w:tc>
      </w:tr>
      <w:tr w:rsidR="00481206" w:rsidRPr="00481206" w:rsidTr="00CF0F4C">
        <w:trPr>
          <w:trHeight w:val="145"/>
          <w:jc w:val="center"/>
        </w:trPr>
        <w:tc>
          <w:tcPr>
            <w:tcW w:w="2556" w:type="dxa"/>
            <w:vMerge w:val="restart"/>
            <w:vAlign w:val="center"/>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求实、勤奋、创新</w:t>
            </w:r>
          </w:p>
        </w:tc>
        <w:tc>
          <w:tcPr>
            <w:tcW w:w="3996" w:type="dxa"/>
          </w:tcPr>
          <w:p w:rsidR="00481206" w:rsidRPr="00481206" w:rsidRDefault="00481206" w:rsidP="00CF0F4C">
            <w:pPr>
              <w:spacing w:line="360" w:lineRule="auto"/>
              <w:rPr>
                <w:rFonts w:ascii="宋体" w:hAnsi="宋体" w:cs="宋体"/>
                <w:sz w:val="24"/>
              </w:rPr>
            </w:pPr>
            <w:r w:rsidRPr="00481206">
              <w:rPr>
                <w:rFonts w:ascii="宋体" w:hAnsi="宋体" w:cs="宋体" w:hint="eastAsia"/>
                <w:sz w:val="24"/>
              </w:rPr>
              <w:t>教学双边在制度框架内的求真务实</w:t>
            </w:r>
          </w:p>
        </w:tc>
      </w:tr>
      <w:tr w:rsidR="00481206" w:rsidRPr="00481206" w:rsidTr="00CF0F4C">
        <w:trPr>
          <w:trHeight w:val="145"/>
          <w:jc w:val="center"/>
        </w:trPr>
        <w:tc>
          <w:tcPr>
            <w:tcW w:w="2556" w:type="dxa"/>
            <w:vMerge/>
          </w:tcPr>
          <w:p w:rsidR="00481206" w:rsidRPr="00481206" w:rsidRDefault="00481206" w:rsidP="00CF0F4C">
            <w:pPr>
              <w:spacing w:line="360" w:lineRule="auto"/>
              <w:rPr>
                <w:rFonts w:ascii="宋体" w:hAnsi="宋体" w:cs="宋体"/>
                <w:b/>
                <w:sz w:val="24"/>
              </w:rPr>
            </w:pPr>
          </w:p>
        </w:tc>
        <w:tc>
          <w:tcPr>
            <w:tcW w:w="3996" w:type="dxa"/>
          </w:tcPr>
          <w:p w:rsidR="00481206" w:rsidRPr="00481206" w:rsidRDefault="00481206" w:rsidP="00CF0F4C">
            <w:pPr>
              <w:spacing w:line="360" w:lineRule="auto"/>
              <w:rPr>
                <w:rFonts w:ascii="宋体" w:hAnsi="宋体" w:cs="宋体"/>
                <w:sz w:val="24"/>
              </w:rPr>
            </w:pPr>
            <w:r w:rsidRPr="00481206">
              <w:rPr>
                <w:rFonts w:ascii="宋体" w:hAnsi="宋体" w:cs="宋体" w:hint="eastAsia"/>
                <w:sz w:val="24"/>
              </w:rPr>
              <w:t>学习行为在过程阶段上的勤奋刻苦</w:t>
            </w:r>
          </w:p>
        </w:tc>
      </w:tr>
      <w:tr w:rsidR="00481206" w:rsidRPr="00481206" w:rsidTr="00CF0F4C">
        <w:trPr>
          <w:trHeight w:val="145"/>
          <w:jc w:val="center"/>
        </w:trPr>
        <w:tc>
          <w:tcPr>
            <w:tcW w:w="2556" w:type="dxa"/>
            <w:vMerge/>
          </w:tcPr>
          <w:p w:rsidR="00481206" w:rsidRPr="00481206" w:rsidRDefault="00481206" w:rsidP="00CF0F4C">
            <w:pPr>
              <w:spacing w:line="360" w:lineRule="auto"/>
              <w:rPr>
                <w:rFonts w:ascii="宋体" w:hAnsi="宋体" w:cs="宋体"/>
                <w:b/>
                <w:sz w:val="24"/>
              </w:rPr>
            </w:pPr>
          </w:p>
        </w:tc>
        <w:tc>
          <w:tcPr>
            <w:tcW w:w="3996" w:type="dxa"/>
          </w:tcPr>
          <w:p w:rsidR="00481206" w:rsidRPr="00481206" w:rsidRDefault="00481206" w:rsidP="00CF0F4C">
            <w:pPr>
              <w:spacing w:line="360" w:lineRule="auto"/>
              <w:rPr>
                <w:rFonts w:ascii="宋体" w:hAnsi="宋体" w:cs="宋体"/>
                <w:sz w:val="24"/>
              </w:rPr>
            </w:pPr>
            <w:r w:rsidRPr="00481206">
              <w:rPr>
                <w:rFonts w:ascii="宋体" w:hAnsi="宋体" w:cs="宋体" w:hint="eastAsia"/>
                <w:sz w:val="24"/>
              </w:rPr>
              <w:t>人才培养在实践与理念上奋进创新</w:t>
            </w:r>
          </w:p>
        </w:tc>
      </w:tr>
    </w:tbl>
    <w:p w:rsidR="00481206" w:rsidRPr="00481206" w:rsidRDefault="00481206" w:rsidP="00481206">
      <w:pPr>
        <w:pStyle w:val="3"/>
        <w:spacing w:before="0" w:after="0" w:line="360" w:lineRule="auto"/>
        <w:rPr>
          <w:rFonts w:ascii="宋体" w:hAnsi="宋体" w:cs="宋体"/>
          <w:sz w:val="28"/>
          <w:szCs w:val="28"/>
        </w:rPr>
      </w:pPr>
      <w:bookmarkStart w:id="909" w:name="_Toc403319320"/>
      <w:bookmarkStart w:id="910" w:name="_Toc19721"/>
      <w:bookmarkStart w:id="911" w:name="_Toc474271892"/>
      <w:r w:rsidRPr="00481206">
        <w:rPr>
          <w:rFonts w:ascii="宋体" w:hAnsi="宋体" w:cs="宋体" w:hint="eastAsia"/>
          <w:sz w:val="28"/>
          <w:szCs w:val="28"/>
        </w:rPr>
        <w:t>14.2课程大纲实施过程的重点界定</w:t>
      </w:r>
      <w:bookmarkEnd w:id="909"/>
      <w:bookmarkEnd w:id="910"/>
      <w:bookmarkEnd w:id="911"/>
    </w:p>
    <w:p w:rsidR="00481206" w:rsidRPr="00481206" w:rsidRDefault="00481206" w:rsidP="00481206">
      <w:pPr>
        <w:spacing w:line="360" w:lineRule="auto"/>
        <w:ind w:firstLineChars="200" w:firstLine="480"/>
        <w:rPr>
          <w:rFonts w:ascii="宋体" w:hAnsi="宋体" w:cs="宋体"/>
          <w:sz w:val="24"/>
        </w:rPr>
      </w:pPr>
      <w:r w:rsidRPr="00481206">
        <w:rPr>
          <w:rFonts w:ascii="宋体" w:hAnsi="宋体" w:cs="宋体" w:hint="eastAsia"/>
          <w:sz w:val="24"/>
        </w:rPr>
        <w:t>由于课程实施对象的不同，大纲实施过程的重点也应该有所选择。</w:t>
      </w:r>
    </w:p>
    <w:p w:rsidR="00481206" w:rsidRPr="00481206" w:rsidRDefault="00481206" w:rsidP="00481206">
      <w:pPr>
        <w:spacing w:line="360" w:lineRule="auto"/>
        <w:ind w:firstLineChars="200" w:firstLine="480"/>
        <w:rPr>
          <w:rFonts w:ascii="宋体" w:hAnsi="宋体" w:cs="宋体"/>
          <w:sz w:val="24"/>
        </w:rPr>
      </w:pPr>
      <w:r w:rsidRPr="00481206">
        <w:rPr>
          <w:rFonts w:ascii="宋体" w:hAnsi="宋体" w:cs="宋体" w:hint="eastAsia"/>
          <w:sz w:val="24"/>
        </w:rPr>
        <w:t>重点高等院校，在制度较为完备，机制相对完善，学习蔚然成风的条件下，教学过程的自律与自觉性呈现出显著性特征。因此，其教学过程更关注理论的系统性、深化与延展。</w:t>
      </w:r>
    </w:p>
    <w:p w:rsidR="00481206" w:rsidRPr="00481206" w:rsidRDefault="00481206" w:rsidP="00481206">
      <w:pPr>
        <w:spacing w:line="360" w:lineRule="auto"/>
        <w:ind w:firstLineChars="200" w:firstLine="480"/>
        <w:rPr>
          <w:rFonts w:ascii="宋体" w:hAnsi="宋体" w:cs="宋体"/>
          <w:sz w:val="24"/>
        </w:rPr>
      </w:pPr>
      <w:r w:rsidRPr="00481206">
        <w:rPr>
          <w:rFonts w:ascii="宋体" w:hAnsi="宋体" w:cs="宋体" w:hint="eastAsia"/>
          <w:sz w:val="24"/>
        </w:rPr>
        <w:t>一般高等院校却面临制度建设、机制改革和学风培育等方面的任务，教学对象无论是在知识理论基础，还是在学习的自律与自觉上都存在问题，因此，教学过程重点在于风气的培育，制度的建设和态度的调整，对知识理论的传授则应关注理论体系的基础性和教学方式方法的艺术性。结合四川理工学院的实际，在《</w:t>
      </w:r>
      <w:r w:rsidRPr="00481206">
        <w:rPr>
          <w:rFonts w:hint="eastAsia"/>
          <w:sz w:val="24"/>
        </w:rPr>
        <w:t>衍生金融产品概论</w:t>
      </w:r>
      <w:r w:rsidRPr="00481206">
        <w:rPr>
          <w:rFonts w:ascii="宋体" w:hAnsi="宋体" w:cs="宋体" w:hint="eastAsia"/>
          <w:sz w:val="24"/>
        </w:rPr>
        <w:t>》课程大纲的实施过程中，当立足于一般高等院校的视角，确定过程重点。</w:t>
      </w:r>
    </w:p>
    <w:p w:rsidR="00481206" w:rsidRPr="00481206" w:rsidRDefault="00481206" w:rsidP="00481206">
      <w:pPr>
        <w:pStyle w:val="3"/>
        <w:spacing w:before="0" w:after="0" w:line="360" w:lineRule="auto"/>
        <w:rPr>
          <w:rFonts w:ascii="宋体" w:hAnsi="宋体" w:cs="宋体"/>
          <w:sz w:val="28"/>
          <w:szCs w:val="28"/>
        </w:rPr>
      </w:pPr>
      <w:bookmarkStart w:id="912" w:name="_Toc403319321"/>
      <w:bookmarkStart w:id="913" w:name="_Toc17497"/>
      <w:bookmarkStart w:id="914" w:name="_Toc474271893"/>
      <w:r w:rsidRPr="00481206">
        <w:rPr>
          <w:rFonts w:ascii="宋体" w:hAnsi="宋体" w:cs="宋体" w:hint="eastAsia"/>
          <w:sz w:val="28"/>
          <w:szCs w:val="28"/>
        </w:rPr>
        <w:t>14.3课程大纲实施的阶段规划</w:t>
      </w:r>
      <w:bookmarkEnd w:id="912"/>
      <w:bookmarkEnd w:id="913"/>
      <w:bookmarkEnd w:id="914"/>
    </w:p>
    <w:p w:rsidR="00481206" w:rsidRPr="00481206" w:rsidRDefault="00481206" w:rsidP="00481206">
      <w:pPr>
        <w:spacing w:line="360" w:lineRule="auto"/>
        <w:ind w:firstLineChars="200" w:firstLine="480"/>
        <w:rPr>
          <w:rFonts w:ascii="宋体" w:hAnsi="宋体" w:cs="宋体"/>
          <w:sz w:val="24"/>
        </w:rPr>
      </w:pPr>
      <w:r w:rsidRPr="00481206">
        <w:rPr>
          <w:rFonts w:ascii="宋体" w:hAnsi="宋体" w:cs="宋体" w:hint="eastAsia"/>
          <w:sz w:val="24"/>
        </w:rPr>
        <w:t>14.3.1第一阶段是立规与宣示</w:t>
      </w:r>
    </w:p>
    <w:p w:rsidR="00481206" w:rsidRPr="00481206" w:rsidRDefault="00481206" w:rsidP="00481206">
      <w:pPr>
        <w:spacing w:line="360" w:lineRule="auto"/>
        <w:ind w:firstLineChars="200" w:firstLine="480"/>
        <w:rPr>
          <w:rFonts w:ascii="宋体" w:hAnsi="宋体" w:cs="宋体"/>
          <w:sz w:val="24"/>
        </w:rPr>
      </w:pPr>
      <w:r w:rsidRPr="00481206">
        <w:rPr>
          <w:rFonts w:ascii="宋体" w:hAnsi="宋体" w:cs="宋体" w:hint="eastAsia"/>
          <w:sz w:val="24"/>
        </w:rPr>
        <w:t>宣示课程推进的制度安排，达成师生之间的理解一致；</w:t>
      </w:r>
    </w:p>
    <w:p w:rsidR="00481206" w:rsidRPr="00481206" w:rsidRDefault="00481206" w:rsidP="00481206">
      <w:pPr>
        <w:spacing w:line="360" w:lineRule="auto"/>
        <w:ind w:firstLineChars="200" w:firstLine="480"/>
        <w:rPr>
          <w:rFonts w:ascii="宋体" w:hAnsi="宋体" w:cs="宋体"/>
          <w:sz w:val="24"/>
        </w:rPr>
      </w:pPr>
      <w:r w:rsidRPr="00481206">
        <w:rPr>
          <w:rFonts w:ascii="宋体" w:hAnsi="宋体" w:cs="宋体" w:hint="eastAsia"/>
          <w:sz w:val="24"/>
        </w:rPr>
        <w:t>14.3.2第二阶段是过程演绎</w:t>
      </w:r>
    </w:p>
    <w:p w:rsidR="00481206" w:rsidRPr="00481206" w:rsidRDefault="00481206" w:rsidP="00481206">
      <w:pPr>
        <w:spacing w:line="360" w:lineRule="auto"/>
        <w:ind w:firstLineChars="200" w:firstLine="480"/>
        <w:rPr>
          <w:rFonts w:ascii="宋体" w:hAnsi="宋体" w:cs="宋体"/>
          <w:sz w:val="24"/>
        </w:rPr>
      </w:pPr>
      <w:r w:rsidRPr="00481206">
        <w:rPr>
          <w:rFonts w:ascii="宋体" w:hAnsi="宋体" w:cs="宋体" w:hint="eastAsia"/>
          <w:sz w:val="24"/>
        </w:rPr>
        <w:lastRenderedPageBreak/>
        <w:t>其一，根据课程教学日历的基本框架，循序渐进地推进理论教学进程；</w:t>
      </w:r>
    </w:p>
    <w:p w:rsidR="00481206" w:rsidRPr="00481206" w:rsidRDefault="00481206" w:rsidP="00481206">
      <w:pPr>
        <w:spacing w:line="360" w:lineRule="auto"/>
        <w:ind w:firstLineChars="200" w:firstLine="480"/>
        <w:rPr>
          <w:rFonts w:ascii="宋体" w:hAnsi="宋体" w:cs="宋体"/>
          <w:sz w:val="24"/>
        </w:rPr>
      </w:pPr>
      <w:r w:rsidRPr="00481206">
        <w:rPr>
          <w:rFonts w:ascii="宋体" w:hAnsi="宋体" w:cs="宋体" w:hint="eastAsia"/>
          <w:sz w:val="24"/>
        </w:rPr>
        <w:t>其二，强烈关注互动与细节，在德才双馨理念的指导下，植入灵活多样的诱发模式，促进教与学的交融，提升课堂教学的绩效，同时，形成连续的流水记录作为考核依据；</w:t>
      </w:r>
    </w:p>
    <w:p w:rsidR="00481206" w:rsidRPr="00481206" w:rsidRDefault="00481206" w:rsidP="00481206">
      <w:pPr>
        <w:spacing w:line="360" w:lineRule="auto"/>
        <w:ind w:firstLineChars="200" w:firstLine="480"/>
        <w:rPr>
          <w:rFonts w:ascii="宋体" w:hAnsi="宋体" w:cs="宋体"/>
          <w:sz w:val="24"/>
        </w:rPr>
      </w:pPr>
      <w:r w:rsidRPr="00481206">
        <w:rPr>
          <w:rFonts w:ascii="宋体" w:hAnsi="宋体" w:cs="宋体" w:hint="eastAsia"/>
          <w:sz w:val="24"/>
        </w:rPr>
        <w:t>其三，自觉学习。</w:t>
      </w:r>
    </w:p>
    <w:p w:rsidR="00481206" w:rsidRPr="00481206" w:rsidRDefault="00481206" w:rsidP="00481206">
      <w:pPr>
        <w:spacing w:line="360" w:lineRule="auto"/>
        <w:ind w:firstLineChars="200" w:firstLine="480"/>
        <w:rPr>
          <w:rFonts w:ascii="宋体" w:hAnsi="宋体" w:cs="宋体"/>
          <w:sz w:val="24"/>
        </w:rPr>
      </w:pPr>
      <w:r w:rsidRPr="00481206">
        <w:rPr>
          <w:rFonts w:ascii="宋体" w:hAnsi="宋体" w:cs="宋体" w:hint="eastAsia"/>
          <w:sz w:val="24"/>
        </w:rPr>
        <w:t>14.3.3第三阶段是总结与修正</w:t>
      </w:r>
    </w:p>
    <w:p w:rsidR="00481206" w:rsidRPr="00481206" w:rsidRDefault="00481206" w:rsidP="00481206">
      <w:pPr>
        <w:spacing w:line="360" w:lineRule="auto"/>
        <w:ind w:firstLineChars="200" w:firstLine="480"/>
        <w:rPr>
          <w:rFonts w:ascii="宋体" w:hAnsi="宋体" w:cs="宋体"/>
          <w:sz w:val="24"/>
        </w:rPr>
      </w:pPr>
      <w:r w:rsidRPr="00481206">
        <w:rPr>
          <w:rFonts w:ascii="宋体" w:hAnsi="宋体" w:cs="宋体" w:hint="eastAsia"/>
          <w:sz w:val="24"/>
        </w:rPr>
        <w:t>一是，过程中的总结与修正；</w:t>
      </w:r>
    </w:p>
    <w:p w:rsidR="00481206" w:rsidRPr="00481206" w:rsidRDefault="00481206" w:rsidP="00481206">
      <w:pPr>
        <w:spacing w:line="360" w:lineRule="auto"/>
        <w:ind w:firstLineChars="200" w:firstLine="480"/>
        <w:rPr>
          <w:rFonts w:ascii="宋体" w:hAnsi="宋体" w:cs="宋体"/>
          <w:sz w:val="24"/>
        </w:rPr>
      </w:pPr>
      <w:r w:rsidRPr="00481206">
        <w:rPr>
          <w:rFonts w:ascii="宋体" w:hAnsi="宋体" w:cs="宋体" w:hint="eastAsia"/>
          <w:sz w:val="24"/>
        </w:rPr>
        <w:t>二是，跨周期的总结与修正。</w:t>
      </w:r>
    </w:p>
    <w:p w:rsidR="00481206" w:rsidRPr="00481206" w:rsidRDefault="00481206" w:rsidP="00481206">
      <w:pPr>
        <w:pStyle w:val="3"/>
        <w:spacing w:before="0" w:after="0" w:line="360" w:lineRule="auto"/>
        <w:rPr>
          <w:rFonts w:ascii="宋体" w:hAnsi="宋体" w:cs="宋体"/>
          <w:sz w:val="28"/>
          <w:szCs w:val="28"/>
        </w:rPr>
      </w:pPr>
      <w:bookmarkStart w:id="915" w:name="_Toc403319322"/>
      <w:bookmarkStart w:id="916" w:name="_Toc26733"/>
      <w:bookmarkStart w:id="917" w:name="_Toc474271894"/>
      <w:r w:rsidRPr="00481206">
        <w:rPr>
          <w:rFonts w:ascii="宋体" w:hAnsi="宋体" w:cs="宋体" w:hint="eastAsia"/>
          <w:sz w:val="28"/>
          <w:szCs w:val="28"/>
        </w:rPr>
        <w:t>14.4课程大纲实施中的课堂伦理</w:t>
      </w:r>
      <w:bookmarkEnd w:id="915"/>
      <w:bookmarkEnd w:id="916"/>
      <w:bookmarkEnd w:id="917"/>
    </w:p>
    <w:p w:rsidR="00481206" w:rsidRPr="00481206" w:rsidRDefault="00481206" w:rsidP="00481206">
      <w:pPr>
        <w:spacing w:line="360" w:lineRule="auto"/>
        <w:ind w:firstLineChars="200" w:firstLine="480"/>
        <w:rPr>
          <w:rFonts w:ascii="宋体" w:hAnsi="宋体" w:cs="宋体"/>
          <w:sz w:val="24"/>
        </w:rPr>
      </w:pPr>
      <w:r w:rsidRPr="00481206">
        <w:rPr>
          <w:rFonts w:ascii="宋体" w:hAnsi="宋体" w:cs="宋体" w:hint="eastAsia"/>
          <w:sz w:val="24"/>
        </w:rPr>
        <w:t>伦理是一种自然秩序，它发挥着非正式制度的影响力，有效的课堂伦理建设，有助于保证秩序，促进和谐，提升效率。在教与学双边的视角，良性的课堂伦理应该做到：</w:t>
      </w:r>
    </w:p>
    <w:p w:rsidR="00481206" w:rsidRPr="00481206" w:rsidRDefault="00481206" w:rsidP="00481206">
      <w:pPr>
        <w:numPr>
          <w:ilvl w:val="0"/>
          <w:numId w:val="14"/>
        </w:numPr>
        <w:spacing w:line="360" w:lineRule="auto"/>
        <w:rPr>
          <w:rFonts w:ascii="宋体" w:hAnsi="宋体" w:cs="宋体"/>
          <w:sz w:val="24"/>
        </w:rPr>
      </w:pPr>
      <w:r w:rsidRPr="00481206">
        <w:rPr>
          <w:rFonts w:ascii="宋体" w:hAnsi="宋体" w:cs="宋体" w:hint="eastAsia"/>
          <w:sz w:val="24"/>
        </w:rPr>
        <w:t>规范与严肃教风，发扬师德风尚，教师以身正为范；</w:t>
      </w:r>
    </w:p>
    <w:p w:rsidR="00481206" w:rsidRPr="00481206" w:rsidRDefault="00481206" w:rsidP="00481206">
      <w:pPr>
        <w:numPr>
          <w:ilvl w:val="0"/>
          <w:numId w:val="14"/>
        </w:numPr>
        <w:spacing w:line="360" w:lineRule="auto"/>
        <w:rPr>
          <w:rFonts w:ascii="宋体" w:hAnsi="宋体" w:cs="宋体"/>
          <w:sz w:val="24"/>
        </w:rPr>
      </w:pPr>
      <w:r w:rsidRPr="00481206">
        <w:rPr>
          <w:rFonts w:ascii="宋体" w:hAnsi="宋体" w:cs="宋体" w:hint="eastAsia"/>
          <w:sz w:val="24"/>
        </w:rPr>
        <w:t>培育与引导学风，图展尚学风貌，学子以好学为任；</w:t>
      </w:r>
    </w:p>
    <w:p w:rsidR="00481206" w:rsidRPr="00481206" w:rsidRDefault="00481206" w:rsidP="00481206">
      <w:pPr>
        <w:numPr>
          <w:ilvl w:val="0"/>
          <w:numId w:val="14"/>
        </w:numPr>
        <w:spacing w:line="360" w:lineRule="auto"/>
        <w:rPr>
          <w:rFonts w:ascii="宋体" w:hAnsi="宋体" w:cs="宋体"/>
          <w:sz w:val="24"/>
        </w:rPr>
      </w:pPr>
      <w:r w:rsidRPr="00481206">
        <w:rPr>
          <w:rFonts w:ascii="宋体" w:hAnsi="宋体" w:cs="宋体" w:hint="eastAsia"/>
          <w:sz w:val="24"/>
        </w:rPr>
        <w:t>宣示课堂微观制度，师生监督共勉；</w:t>
      </w:r>
    </w:p>
    <w:p w:rsidR="00481206" w:rsidRPr="00481206" w:rsidRDefault="00481206" w:rsidP="00481206">
      <w:pPr>
        <w:numPr>
          <w:ilvl w:val="0"/>
          <w:numId w:val="14"/>
        </w:numPr>
        <w:spacing w:line="360" w:lineRule="auto"/>
        <w:rPr>
          <w:rFonts w:ascii="宋体" w:hAnsi="宋体" w:cs="宋体"/>
          <w:sz w:val="24"/>
        </w:rPr>
      </w:pPr>
      <w:r w:rsidRPr="00481206">
        <w:rPr>
          <w:rFonts w:ascii="宋体" w:hAnsi="宋体" w:cs="宋体" w:hint="eastAsia"/>
          <w:sz w:val="24"/>
        </w:rPr>
        <w:t>弘扬传统优良品德，师生相互尊重。</w:t>
      </w:r>
    </w:p>
    <w:p w:rsidR="00481206" w:rsidRPr="00481206" w:rsidRDefault="00481206" w:rsidP="00481206">
      <w:pPr>
        <w:pStyle w:val="3"/>
        <w:spacing w:before="0" w:after="0" w:line="360" w:lineRule="auto"/>
        <w:rPr>
          <w:rFonts w:ascii="宋体" w:hAnsi="宋体" w:cs="宋体"/>
          <w:sz w:val="28"/>
          <w:szCs w:val="28"/>
        </w:rPr>
      </w:pPr>
      <w:bookmarkStart w:id="918" w:name="_Toc403319323"/>
      <w:bookmarkStart w:id="919" w:name="_Toc9491"/>
      <w:bookmarkStart w:id="920" w:name="_Toc474271895"/>
      <w:r w:rsidRPr="00481206">
        <w:rPr>
          <w:rFonts w:ascii="宋体" w:hAnsi="宋体" w:cs="宋体" w:hint="eastAsia"/>
          <w:sz w:val="28"/>
          <w:szCs w:val="28"/>
        </w:rPr>
        <w:t>14.5考核指导思想</w:t>
      </w:r>
      <w:bookmarkEnd w:id="918"/>
      <w:bookmarkEnd w:id="919"/>
      <w:bookmarkEnd w:id="920"/>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课程考核指导思想的内在规定性，决定着课程建设的价值取向。《</w:t>
      </w:r>
      <w:r w:rsidRPr="00481206">
        <w:rPr>
          <w:rFonts w:hint="eastAsia"/>
          <w:sz w:val="24"/>
        </w:rPr>
        <w:t>衍生金融产品概论</w:t>
      </w:r>
      <w:r w:rsidRPr="00481206">
        <w:rPr>
          <w:rFonts w:ascii="宋体" w:hAnsi="宋体" w:cs="宋体" w:hint="eastAsia"/>
          <w:sz w:val="24"/>
        </w:rPr>
        <w:t>》的课程考核指导思想集中表现为：德才并重，求真务实。注解如下：</w:t>
      </w:r>
    </w:p>
    <w:p w:rsidR="00481206" w:rsidRPr="00481206" w:rsidRDefault="00481206" w:rsidP="00481206">
      <w:pPr>
        <w:numPr>
          <w:ilvl w:val="0"/>
          <w:numId w:val="15"/>
        </w:numPr>
        <w:spacing w:line="360" w:lineRule="auto"/>
        <w:rPr>
          <w:rFonts w:ascii="宋体" w:hAnsi="宋体" w:cs="宋体"/>
          <w:sz w:val="24"/>
        </w:rPr>
      </w:pPr>
      <w:r w:rsidRPr="00481206">
        <w:rPr>
          <w:rFonts w:ascii="宋体" w:hAnsi="宋体" w:cs="宋体" w:hint="eastAsia"/>
          <w:sz w:val="24"/>
        </w:rPr>
        <w:t>德才并重：以德为本，以才为用，塑造德才兼备的优秀人才，既表达以人为本，发展人的价值诉求，又能紧扣社会经济发展的核心价值；</w:t>
      </w:r>
    </w:p>
    <w:p w:rsidR="00481206" w:rsidRPr="00481206" w:rsidRDefault="00481206" w:rsidP="00481206">
      <w:pPr>
        <w:numPr>
          <w:ilvl w:val="0"/>
          <w:numId w:val="15"/>
        </w:numPr>
        <w:spacing w:line="360" w:lineRule="auto"/>
        <w:rPr>
          <w:rFonts w:ascii="宋体" w:hAnsi="宋体" w:cs="宋体"/>
          <w:sz w:val="24"/>
        </w:rPr>
      </w:pPr>
      <w:r w:rsidRPr="00481206">
        <w:rPr>
          <w:rFonts w:ascii="宋体" w:hAnsi="宋体" w:cs="宋体" w:hint="eastAsia"/>
          <w:sz w:val="24"/>
        </w:rPr>
        <w:t>求真务实：实事求是，在理论学习中探寻规律，在实践中运用规律，将理论与实践有机结合起来。</w:t>
      </w:r>
    </w:p>
    <w:p w:rsidR="00481206" w:rsidRPr="00481206" w:rsidRDefault="00481206" w:rsidP="00481206">
      <w:pPr>
        <w:pStyle w:val="3"/>
        <w:spacing w:before="0" w:after="0" w:line="360" w:lineRule="auto"/>
        <w:rPr>
          <w:rFonts w:ascii="宋体" w:hAnsi="宋体" w:cs="宋体"/>
          <w:sz w:val="28"/>
          <w:szCs w:val="28"/>
        </w:rPr>
      </w:pPr>
      <w:bookmarkStart w:id="921" w:name="_Toc403319324"/>
      <w:bookmarkStart w:id="922" w:name="_Toc24495"/>
      <w:bookmarkStart w:id="923" w:name="_Toc474271896"/>
      <w:r w:rsidRPr="00481206">
        <w:rPr>
          <w:rFonts w:ascii="宋体" w:hAnsi="宋体" w:cs="宋体" w:hint="eastAsia"/>
          <w:sz w:val="28"/>
          <w:szCs w:val="28"/>
        </w:rPr>
        <w:t>14.6基于双边关系的诚信内涵界定</w:t>
      </w:r>
      <w:bookmarkEnd w:id="921"/>
      <w:bookmarkEnd w:id="922"/>
      <w:bookmarkEnd w:id="923"/>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基于长期的教学实践和自己秉承的治学理念，我将教学双边关系的诚信内涵界定如下：</w:t>
      </w:r>
    </w:p>
    <w:p w:rsidR="00481206" w:rsidRPr="00481206" w:rsidRDefault="00481206" w:rsidP="00481206">
      <w:pPr>
        <w:numPr>
          <w:ilvl w:val="0"/>
          <w:numId w:val="16"/>
        </w:numPr>
        <w:spacing w:line="360" w:lineRule="auto"/>
        <w:rPr>
          <w:rFonts w:ascii="宋体" w:hAnsi="宋体" w:cs="宋体"/>
          <w:sz w:val="24"/>
        </w:rPr>
      </w:pPr>
      <w:r w:rsidRPr="00481206">
        <w:rPr>
          <w:rFonts w:ascii="宋体" w:hAnsi="宋体" w:cs="宋体" w:hint="eastAsia"/>
          <w:sz w:val="24"/>
        </w:rPr>
        <w:t>严肃教学伦理，弘扬道德规范；</w:t>
      </w:r>
    </w:p>
    <w:p w:rsidR="00481206" w:rsidRPr="00481206" w:rsidRDefault="00481206" w:rsidP="00481206">
      <w:pPr>
        <w:numPr>
          <w:ilvl w:val="0"/>
          <w:numId w:val="16"/>
        </w:numPr>
        <w:spacing w:line="360" w:lineRule="auto"/>
        <w:rPr>
          <w:rFonts w:ascii="宋体" w:hAnsi="宋体" w:cs="宋体"/>
          <w:sz w:val="24"/>
        </w:rPr>
      </w:pPr>
      <w:r w:rsidRPr="00481206">
        <w:rPr>
          <w:rFonts w:ascii="宋体" w:hAnsi="宋体" w:cs="宋体" w:hint="eastAsia"/>
          <w:sz w:val="24"/>
        </w:rPr>
        <w:t>恪守规章制度，保证科学理性；</w:t>
      </w:r>
    </w:p>
    <w:p w:rsidR="00481206" w:rsidRPr="00481206" w:rsidRDefault="00481206" w:rsidP="00481206">
      <w:pPr>
        <w:numPr>
          <w:ilvl w:val="0"/>
          <w:numId w:val="16"/>
        </w:numPr>
        <w:spacing w:line="360" w:lineRule="auto"/>
        <w:rPr>
          <w:rFonts w:ascii="宋体" w:hAnsi="宋体" w:cs="宋体"/>
          <w:sz w:val="24"/>
        </w:rPr>
      </w:pPr>
      <w:r w:rsidRPr="00481206">
        <w:rPr>
          <w:rFonts w:ascii="宋体" w:hAnsi="宋体" w:cs="宋体" w:hint="eastAsia"/>
          <w:sz w:val="24"/>
        </w:rPr>
        <w:t>杜绝学术腐败，坚持求实创新。</w:t>
      </w:r>
    </w:p>
    <w:p w:rsidR="00481206" w:rsidRPr="00481206" w:rsidRDefault="00481206" w:rsidP="00481206">
      <w:pPr>
        <w:spacing w:line="360" w:lineRule="auto"/>
        <w:ind w:left="420"/>
        <w:rPr>
          <w:rFonts w:ascii="宋体" w:hAnsi="宋体" w:cs="宋体"/>
          <w:sz w:val="24"/>
        </w:rPr>
      </w:pPr>
      <w:r w:rsidRPr="00481206">
        <w:rPr>
          <w:rFonts w:ascii="宋体" w:hAnsi="宋体" w:cs="宋体" w:hint="eastAsia"/>
          <w:sz w:val="24"/>
        </w:rPr>
        <w:t>无论是教师还是学生，都应该秉承这样的诚信之风，治好学，为好学。</w:t>
      </w:r>
    </w:p>
    <w:p w:rsidR="00481206" w:rsidRPr="00481206" w:rsidRDefault="00481206" w:rsidP="00481206">
      <w:pPr>
        <w:pStyle w:val="3"/>
        <w:spacing w:before="0" w:after="0" w:line="360" w:lineRule="auto"/>
        <w:rPr>
          <w:rFonts w:ascii="宋体" w:hAnsi="宋体" w:cs="宋体"/>
          <w:sz w:val="28"/>
          <w:szCs w:val="28"/>
        </w:rPr>
      </w:pPr>
      <w:bookmarkStart w:id="924" w:name="_Toc403319325"/>
      <w:bookmarkStart w:id="925" w:name="_Toc23716"/>
      <w:bookmarkStart w:id="926" w:name="_Toc474271897"/>
      <w:r w:rsidRPr="00481206">
        <w:rPr>
          <w:rFonts w:ascii="宋体" w:hAnsi="宋体" w:cs="宋体" w:hint="eastAsia"/>
          <w:sz w:val="28"/>
          <w:szCs w:val="28"/>
        </w:rPr>
        <w:lastRenderedPageBreak/>
        <w:t>14.7教学方法及运用中应注意的问题</w:t>
      </w:r>
      <w:bookmarkEnd w:id="924"/>
      <w:bookmarkEnd w:id="925"/>
      <w:bookmarkEnd w:id="926"/>
    </w:p>
    <w:p w:rsidR="00481206" w:rsidRPr="00481206" w:rsidRDefault="00481206" w:rsidP="00481206">
      <w:pPr>
        <w:pStyle w:val="3"/>
        <w:spacing w:before="0" w:after="0" w:line="360" w:lineRule="auto"/>
        <w:rPr>
          <w:rFonts w:ascii="宋体" w:hAnsi="宋体" w:cs="宋体"/>
          <w:b w:val="0"/>
          <w:sz w:val="24"/>
          <w:szCs w:val="24"/>
        </w:rPr>
      </w:pPr>
      <w:r w:rsidRPr="00481206">
        <w:rPr>
          <w:rFonts w:ascii="宋体" w:hAnsi="宋体" w:cs="宋体" w:hint="eastAsia"/>
          <w:sz w:val="24"/>
          <w:szCs w:val="24"/>
        </w:rPr>
        <w:t xml:space="preserve">   </w:t>
      </w:r>
      <w:r w:rsidRPr="00481206">
        <w:rPr>
          <w:rFonts w:ascii="宋体" w:hAnsi="宋体" w:cs="宋体" w:hint="eastAsia"/>
          <w:b w:val="0"/>
          <w:sz w:val="24"/>
          <w:szCs w:val="24"/>
        </w:rPr>
        <w:t xml:space="preserve"> </w:t>
      </w:r>
      <w:bookmarkStart w:id="927" w:name="_Toc403319326"/>
      <w:bookmarkStart w:id="928" w:name="_Toc9239"/>
      <w:bookmarkStart w:id="929" w:name="_Toc18217"/>
      <w:bookmarkStart w:id="930" w:name="_Toc430424563"/>
      <w:bookmarkStart w:id="931" w:name="_Toc474271898"/>
      <w:r w:rsidRPr="00481206">
        <w:rPr>
          <w:rFonts w:ascii="宋体" w:hAnsi="宋体" w:cs="宋体" w:hint="eastAsia"/>
          <w:b w:val="0"/>
          <w:sz w:val="24"/>
          <w:szCs w:val="24"/>
        </w:rPr>
        <w:t>14.7.1课堂讲授</w:t>
      </w:r>
      <w:bookmarkEnd w:id="927"/>
      <w:bookmarkEnd w:id="928"/>
      <w:bookmarkEnd w:id="929"/>
      <w:bookmarkEnd w:id="930"/>
      <w:bookmarkEnd w:id="931"/>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w:t>
      </w:r>
      <w:r w:rsidRPr="00481206">
        <w:rPr>
          <w:rFonts w:hint="eastAsia"/>
          <w:sz w:val="24"/>
        </w:rPr>
        <w:t>衍生金融产品概论</w:t>
      </w:r>
      <w:r w:rsidRPr="00481206">
        <w:rPr>
          <w:rFonts w:ascii="宋体" w:hAnsi="宋体" w:cs="宋体" w:hint="eastAsia"/>
          <w:sz w:val="24"/>
        </w:rPr>
        <w:t>》作为基础理论学科，其教学实施的主要形式将以课堂讲授为主。讲授法是以教师为主导，通过简明、生动的口头语言向学生传授知识、发展学生智力的方法。它是通过叙述、描绘、解释、推论来传递信息、传授知识、阐明概念、论证定律和公式，引导学生分析和认识问题。成功的课堂讲授，需要处理好以下几方面的问题：</w:t>
      </w:r>
    </w:p>
    <w:p w:rsidR="00481206" w:rsidRPr="00481206" w:rsidRDefault="00481206" w:rsidP="00481206">
      <w:pPr>
        <w:numPr>
          <w:ilvl w:val="0"/>
          <w:numId w:val="17"/>
        </w:numPr>
        <w:spacing w:line="360" w:lineRule="auto"/>
        <w:ind w:left="840"/>
        <w:rPr>
          <w:rFonts w:ascii="宋体" w:hAnsi="宋体" w:cs="宋体"/>
          <w:sz w:val="24"/>
        </w:rPr>
      </w:pPr>
      <w:r w:rsidRPr="00481206">
        <w:rPr>
          <w:rFonts w:ascii="宋体" w:hAnsi="宋体" w:cs="宋体" w:hint="eastAsia"/>
          <w:sz w:val="24"/>
        </w:rPr>
        <w:t>辩证施治，既要保证教师主导下有效的知识传授，又要避免师生双边关系的冲突与对立，通过教师合理有效的行为艺术，引发教与学的共鸣，避免出现“满堂灌”和“被动听”的尴尬局面；</w:t>
      </w:r>
    </w:p>
    <w:p w:rsidR="00481206" w:rsidRPr="00481206" w:rsidRDefault="00481206" w:rsidP="00481206">
      <w:pPr>
        <w:numPr>
          <w:ilvl w:val="0"/>
          <w:numId w:val="17"/>
        </w:numPr>
        <w:spacing w:line="360" w:lineRule="auto"/>
        <w:ind w:left="840"/>
        <w:rPr>
          <w:rFonts w:ascii="宋体" w:hAnsi="宋体" w:cs="宋体"/>
          <w:sz w:val="24"/>
        </w:rPr>
      </w:pPr>
      <w:r w:rsidRPr="00481206">
        <w:rPr>
          <w:rFonts w:ascii="宋体" w:hAnsi="宋体" w:cs="宋体" w:hint="eastAsia"/>
          <w:sz w:val="24"/>
        </w:rPr>
        <w:t>发挥教师的人格魅力，在品格、情趣、言谈举止等方面达成耳濡目染的效果，使得“学知识”和“学做人”自然融合，响应“德才双馨”的价值取向；</w:t>
      </w:r>
    </w:p>
    <w:p w:rsidR="00481206" w:rsidRPr="00481206" w:rsidRDefault="00481206" w:rsidP="00481206">
      <w:pPr>
        <w:numPr>
          <w:ilvl w:val="0"/>
          <w:numId w:val="17"/>
        </w:numPr>
        <w:spacing w:line="360" w:lineRule="auto"/>
        <w:ind w:left="840"/>
        <w:rPr>
          <w:rFonts w:ascii="宋体" w:hAnsi="宋体" w:cs="宋体"/>
          <w:sz w:val="24"/>
        </w:rPr>
      </w:pPr>
      <w:r w:rsidRPr="00481206">
        <w:rPr>
          <w:rFonts w:ascii="宋体" w:hAnsi="宋体" w:cs="宋体" w:hint="eastAsia"/>
          <w:sz w:val="24"/>
        </w:rPr>
        <w:t>结合教学对象能力修养的客观实际，在讲授中既要重视内容的科学性和思想性，又要尽可能的与学生的认知基础发生联系；</w:t>
      </w:r>
    </w:p>
    <w:p w:rsidR="00481206" w:rsidRPr="00481206" w:rsidRDefault="00481206" w:rsidP="00481206">
      <w:pPr>
        <w:numPr>
          <w:ilvl w:val="0"/>
          <w:numId w:val="17"/>
        </w:numPr>
        <w:spacing w:line="360" w:lineRule="auto"/>
        <w:ind w:left="840"/>
        <w:rPr>
          <w:rFonts w:ascii="宋体" w:hAnsi="宋体" w:cs="宋体"/>
          <w:sz w:val="24"/>
        </w:rPr>
      </w:pPr>
      <w:r w:rsidRPr="00481206">
        <w:rPr>
          <w:rFonts w:ascii="宋体" w:hAnsi="宋体" w:cs="宋体" w:hint="eastAsia"/>
          <w:sz w:val="24"/>
        </w:rPr>
        <w:t>讲授应坚持“授人以渔”的指导原则，注意培养学生的学科思维，突出讲授的启发性，注重潜在能力的培养；</w:t>
      </w:r>
    </w:p>
    <w:p w:rsidR="00481206" w:rsidRPr="00481206" w:rsidRDefault="00481206" w:rsidP="00481206">
      <w:pPr>
        <w:numPr>
          <w:ilvl w:val="0"/>
          <w:numId w:val="17"/>
        </w:numPr>
        <w:spacing w:line="360" w:lineRule="auto"/>
        <w:ind w:left="840"/>
        <w:rPr>
          <w:rFonts w:ascii="宋体" w:hAnsi="宋体" w:cs="宋体"/>
          <w:sz w:val="24"/>
        </w:rPr>
      </w:pPr>
      <w:r w:rsidRPr="00481206">
        <w:rPr>
          <w:rFonts w:ascii="宋体" w:hAnsi="宋体" w:cs="宋体" w:hint="eastAsia"/>
          <w:sz w:val="24"/>
        </w:rPr>
        <w:t>充分有效地运用语言艺术，做到语言生动形象、富有感染力，清晰、准确、简练，条理清楚、通俗易懂，尽可能音量、语速要适度，语调要抑扬顿挫，适应学生的心理节奏。</w:t>
      </w:r>
    </w:p>
    <w:p w:rsidR="00481206" w:rsidRPr="00481206" w:rsidRDefault="00481206" w:rsidP="00481206">
      <w:pPr>
        <w:pStyle w:val="3"/>
        <w:spacing w:before="0" w:after="0" w:line="360" w:lineRule="auto"/>
        <w:rPr>
          <w:rFonts w:ascii="宋体" w:hAnsi="宋体" w:cs="宋体"/>
          <w:b w:val="0"/>
          <w:sz w:val="24"/>
          <w:szCs w:val="24"/>
        </w:rPr>
      </w:pPr>
      <w:r w:rsidRPr="00481206">
        <w:rPr>
          <w:rFonts w:ascii="宋体" w:hAnsi="宋体" w:cs="宋体" w:hint="eastAsia"/>
          <w:sz w:val="24"/>
          <w:szCs w:val="24"/>
        </w:rPr>
        <w:t xml:space="preserve">   </w:t>
      </w:r>
      <w:r w:rsidRPr="00481206">
        <w:rPr>
          <w:rFonts w:ascii="宋体" w:hAnsi="宋体" w:cs="宋体" w:hint="eastAsia"/>
          <w:b w:val="0"/>
          <w:sz w:val="24"/>
          <w:szCs w:val="24"/>
        </w:rPr>
        <w:t xml:space="preserve"> </w:t>
      </w:r>
      <w:bookmarkStart w:id="932" w:name="_Toc403319327"/>
      <w:bookmarkStart w:id="933" w:name="_Toc1204"/>
      <w:bookmarkStart w:id="934" w:name="_Toc15729"/>
      <w:bookmarkStart w:id="935" w:name="_Toc430424564"/>
      <w:bookmarkStart w:id="936" w:name="_Toc474271899"/>
      <w:r w:rsidRPr="00481206">
        <w:rPr>
          <w:rFonts w:ascii="宋体" w:hAnsi="宋体" w:cs="宋体" w:hint="eastAsia"/>
          <w:b w:val="0"/>
          <w:sz w:val="24"/>
          <w:szCs w:val="24"/>
        </w:rPr>
        <w:t>14.7.2案例分析</w:t>
      </w:r>
      <w:bookmarkEnd w:id="932"/>
      <w:bookmarkEnd w:id="933"/>
      <w:bookmarkEnd w:id="934"/>
      <w:bookmarkEnd w:id="935"/>
      <w:bookmarkEnd w:id="936"/>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案例分析法是把社会实践中出现的问题设为案例，提供给学生作为研究分析的对象材料，在学科理论范畴内运用已有的理论修养和创新性认知，通过材料分析培养分析能力、判断能力、解决问题及执行能力的教学方法。</w:t>
      </w:r>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w:t>
      </w:r>
      <w:r w:rsidRPr="00481206">
        <w:rPr>
          <w:rFonts w:hint="eastAsia"/>
          <w:sz w:val="24"/>
        </w:rPr>
        <w:t>衍生金融产品概论</w:t>
      </w:r>
      <w:r w:rsidRPr="00481206">
        <w:rPr>
          <w:rFonts w:ascii="宋体" w:hAnsi="宋体" w:cs="宋体" w:hint="eastAsia"/>
          <w:sz w:val="24"/>
        </w:rPr>
        <w:t>》覆盖微观和宏观两大方面，理论涉及生产与生活的方方面面，其理论教学具有丰富的经验材料，案例分析在实现理论与实际碰撞对接的同时，将有助于为学者实现方法论、思维方式和经验性的融合。有效的案例分析需要关注以下几个方面：</w:t>
      </w:r>
    </w:p>
    <w:p w:rsidR="00481206" w:rsidRPr="00481206" w:rsidRDefault="00481206" w:rsidP="00481206">
      <w:pPr>
        <w:numPr>
          <w:ilvl w:val="0"/>
          <w:numId w:val="18"/>
        </w:numPr>
        <w:spacing w:line="360" w:lineRule="auto"/>
        <w:ind w:left="840"/>
        <w:rPr>
          <w:rFonts w:ascii="宋体" w:hAnsi="宋体" w:cs="宋体"/>
          <w:sz w:val="24"/>
        </w:rPr>
      </w:pPr>
      <w:r w:rsidRPr="00481206">
        <w:rPr>
          <w:rFonts w:ascii="宋体" w:hAnsi="宋体" w:cs="宋体" w:hint="eastAsia"/>
          <w:sz w:val="24"/>
        </w:rPr>
        <w:t>关联性与针对性，要紧扣单元教学的理论知识；</w:t>
      </w:r>
    </w:p>
    <w:p w:rsidR="00481206" w:rsidRPr="00481206" w:rsidRDefault="00481206" w:rsidP="00481206">
      <w:pPr>
        <w:numPr>
          <w:ilvl w:val="0"/>
          <w:numId w:val="18"/>
        </w:numPr>
        <w:spacing w:line="360" w:lineRule="auto"/>
        <w:ind w:left="840"/>
        <w:rPr>
          <w:rFonts w:ascii="宋体" w:hAnsi="宋体" w:cs="宋体"/>
          <w:sz w:val="24"/>
        </w:rPr>
      </w:pPr>
      <w:r w:rsidRPr="00481206">
        <w:rPr>
          <w:rFonts w:ascii="宋体" w:hAnsi="宋体" w:cs="宋体" w:hint="eastAsia"/>
          <w:sz w:val="24"/>
        </w:rPr>
        <w:t>过程设计与控制，做好事前准备工作，保证案例分析过程的节奏与效率；</w:t>
      </w:r>
    </w:p>
    <w:p w:rsidR="00481206" w:rsidRPr="00481206" w:rsidRDefault="00481206" w:rsidP="00481206">
      <w:pPr>
        <w:numPr>
          <w:ilvl w:val="0"/>
          <w:numId w:val="18"/>
        </w:numPr>
        <w:spacing w:line="360" w:lineRule="auto"/>
        <w:ind w:left="840"/>
        <w:rPr>
          <w:rFonts w:ascii="宋体" w:hAnsi="宋体" w:cs="宋体"/>
          <w:sz w:val="24"/>
        </w:rPr>
      </w:pPr>
      <w:r w:rsidRPr="00481206">
        <w:rPr>
          <w:rFonts w:ascii="宋体" w:hAnsi="宋体" w:cs="宋体" w:hint="eastAsia"/>
          <w:sz w:val="24"/>
        </w:rPr>
        <w:lastRenderedPageBreak/>
        <w:t>关注时事与民生，保证案例材料选择的时效性、代表性、关键性和重大性；</w:t>
      </w:r>
    </w:p>
    <w:p w:rsidR="00481206" w:rsidRPr="00481206" w:rsidRDefault="00481206" w:rsidP="00481206">
      <w:pPr>
        <w:numPr>
          <w:ilvl w:val="0"/>
          <w:numId w:val="18"/>
        </w:numPr>
        <w:spacing w:line="360" w:lineRule="auto"/>
        <w:ind w:left="840"/>
        <w:rPr>
          <w:rFonts w:ascii="宋体" w:hAnsi="宋体" w:cs="宋体"/>
          <w:sz w:val="24"/>
        </w:rPr>
      </w:pPr>
      <w:r w:rsidRPr="00481206">
        <w:rPr>
          <w:rFonts w:ascii="宋体" w:hAnsi="宋体" w:cs="宋体" w:hint="eastAsia"/>
          <w:sz w:val="24"/>
        </w:rPr>
        <w:t>引发争论与思考，把学生的积极性有效调动起来，达到激荡智慧的效果；</w:t>
      </w:r>
    </w:p>
    <w:p w:rsidR="00481206" w:rsidRPr="00481206" w:rsidRDefault="00481206" w:rsidP="00481206">
      <w:pPr>
        <w:numPr>
          <w:ilvl w:val="0"/>
          <w:numId w:val="18"/>
        </w:numPr>
        <w:spacing w:line="360" w:lineRule="auto"/>
        <w:ind w:left="840"/>
        <w:rPr>
          <w:rFonts w:ascii="宋体" w:hAnsi="宋体" w:cs="宋体"/>
          <w:sz w:val="24"/>
        </w:rPr>
      </w:pPr>
      <w:r w:rsidRPr="00481206">
        <w:rPr>
          <w:rFonts w:ascii="宋体" w:hAnsi="宋体" w:cs="宋体" w:hint="eastAsia"/>
          <w:sz w:val="24"/>
        </w:rPr>
        <w:t>引导方向与目标，进行必要的启发、引导及纠偏思维方式与价值取向，达成规范分析的目标成果。</w:t>
      </w:r>
    </w:p>
    <w:p w:rsidR="00481206" w:rsidRPr="00481206" w:rsidRDefault="00481206" w:rsidP="00481206">
      <w:pPr>
        <w:pStyle w:val="3"/>
        <w:spacing w:before="0" w:after="0" w:line="360" w:lineRule="auto"/>
        <w:rPr>
          <w:rFonts w:ascii="宋体" w:hAnsi="宋体" w:cs="宋体"/>
          <w:b w:val="0"/>
          <w:sz w:val="24"/>
          <w:szCs w:val="24"/>
        </w:rPr>
      </w:pPr>
      <w:r w:rsidRPr="00481206">
        <w:rPr>
          <w:rFonts w:ascii="宋体" w:hAnsi="宋体" w:cs="宋体" w:hint="eastAsia"/>
          <w:sz w:val="24"/>
          <w:szCs w:val="24"/>
        </w:rPr>
        <w:t xml:space="preserve">    </w:t>
      </w:r>
      <w:bookmarkStart w:id="937" w:name="_Toc403319328"/>
      <w:bookmarkStart w:id="938" w:name="_Toc10288"/>
      <w:bookmarkStart w:id="939" w:name="_Toc30641"/>
      <w:bookmarkStart w:id="940" w:name="_Toc430424565"/>
      <w:bookmarkStart w:id="941" w:name="_Toc474271900"/>
      <w:r w:rsidRPr="00481206">
        <w:rPr>
          <w:rFonts w:ascii="宋体" w:hAnsi="宋体" w:cs="宋体" w:hint="eastAsia"/>
          <w:b w:val="0"/>
          <w:sz w:val="24"/>
          <w:szCs w:val="24"/>
        </w:rPr>
        <w:t>14.7.3专题讨论</w:t>
      </w:r>
      <w:bookmarkEnd w:id="937"/>
      <w:bookmarkEnd w:id="938"/>
      <w:bookmarkEnd w:id="939"/>
      <w:bookmarkEnd w:id="940"/>
      <w:bookmarkEnd w:id="941"/>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讨论法是在教师的指导下，学生以全班或小组为单位，围绕教材的中心问题，各抒己见，通过讨论或辩论活动，获得知识或巩固知识的一种教学方法。优点在于，由于全体学生都参加活动，可以培养合作精神，激发学生的学习兴趣，提高学生学习的独立性。一般在高年级学生或成人教学中采用。运用讨论法的基本要求是：</w:t>
      </w:r>
    </w:p>
    <w:p w:rsidR="00481206" w:rsidRPr="00481206" w:rsidRDefault="00481206" w:rsidP="00481206">
      <w:pPr>
        <w:numPr>
          <w:ilvl w:val="0"/>
          <w:numId w:val="19"/>
        </w:numPr>
        <w:spacing w:line="360" w:lineRule="auto"/>
        <w:ind w:left="840"/>
        <w:rPr>
          <w:rFonts w:ascii="宋体" w:hAnsi="宋体" w:cs="宋体"/>
          <w:sz w:val="24"/>
        </w:rPr>
      </w:pPr>
      <w:r w:rsidRPr="00481206">
        <w:rPr>
          <w:rFonts w:ascii="宋体" w:hAnsi="宋体" w:cs="宋体" w:hint="eastAsia"/>
          <w:sz w:val="24"/>
        </w:rPr>
        <w:t>讨论的问题要具有吸引力。讨论前教师应提出讨论题和讨论的具体要求，指导学生收集阅读有关资料或进行调查研究，认真写好发言提纲。</w:t>
      </w:r>
    </w:p>
    <w:p w:rsidR="00481206" w:rsidRPr="00481206" w:rsidRDefault="00481206" w:rsidP="00481206">
      <w:pPr>
        <w:numPr>
          <w:ilvl w:val="0"/>
          <w:numId w:val="19"/>
        </w:numPr>
        <w:spacing w:line="360" w:lineRule="auto"/>
        <w:ind w:left="840"/>
        <w:rPr>
          <w:rFonts w:ascii="宋体" w:hAnsi="宋体" w:cs="宋体"/>
          <w:sz w:val="24"/>
        </w:rPr>
      </w:pPr>
      <w:r w:rsidRPr="00481206">
        <w:rPr>
          <w:rFonts w:ascii="宋体" w:hAnsi="宋体" w:cs="宋体" w:hint="eastAsia"/>
          <w:sz w:val="24"/>
        </w:rPr>
        <w:t>讨论时，要善于启发引导学生自由发表意见。讨论要围绕中心，联系实际，让每个学生都有发言机会。</w:t>
      </w:r>
    </w:p>
    <w:p w:rsidR="00481206" w:rsidRPr="00481206" w:rsidRDefault="00481206" w:rsidP="00481206">
      <w:pPr>
        <w:numPr>
          <w:ilvl w:val="0"/>
          <w:numId w:val="19"/>
        </w:numPr>
        <w:spacing w:line="360" w:lineRule="auto"/>
        <w:ind w:left="840"/>
        <w:rPr>
          <w:rFonts w:ascii="宋体" w:hAnsi="宋体" w:cs="宋体"/>
          <w:sz w:val="24"/>
        </w:rPr>
      </w:pPr>
      <w:r w:rsidRPr="00481206">
        <w:rPr>
          <w:rFonts w:ascii="宋体" w:hAnsi="宋体" w:cs="宋体" w:hint="eastAsia"/>
          <w:sz w:val="24"/>
        </w:rPr>
        <w:t>讨论结束时，教师应进行小结，概括讨论的情况，使学生获得正确的观点和系统的知识。</w:t>
      </w:r>
    </w:p>
    <w:p w:rsidR="00481206" w:rsidRPr="00481206" w:rsidRDefault="00481206" w:rsidP="00481206">
      <w:pPr>
        <w:pStyle w:val="3"/>
        <w:spacing w:before="0" w:after="0" w:line="360" w:lineRule="auto"/>
        <w:rPr>
          <w:rFonts w:ascii="宋体" w:hAnsi="宋体" w:cs="宋体"/>
          <w:b w:val="0"/>
          <w:sz w:val="24"/>
          <w:szCs w:val="24"/>
        </w:rPr>
      </w:pPr>
      <w:r w:rsidRPr="00481206">
        <w:rPr>
          <w:rFonts w:ascii="宋体" w:hAnsi="宋体" w:cs="宋体" w:hint="eastAsia"/>
          <w:sz w:val="24"/>
          <w:szCs w:val="24"/>
        </w:rPr>
        <w:t xml:space="preserve">    </w:t>
      </w:r>
      <w:bookmarkStart w:id="942" w:name="_Toc403319329"/>
      <w:bookmarkStart w:id="943" w:name="_Toc28471"/>
      <w:bookmarkStart w:id="944" w:name="_Toc13530"/>
      <w:bookmarkStart w:id="945" w:name="_Toc430424566"/>
      <w:bookmarkStart w:id="946" w:name="_Toc474271901"/>
      <w:r w:rsidRPr="00481206">
        <w:rPr>
          <w:rFonts w:ascii="宋体" w:hAnsi="宋体" w:cs="宋体" w:hint="eastAsia"/>
          <w:b w:val="0"/>
          <w:sz w:val="24"/>
          <w:szCs w:val="24"/>
        </w:rPr>
        <w:t>13.7.4驱动学习法</w:t>
      </w:r>
      <w:bookmarkEnd w:id="942"/>
      <w:bookmarkEnd w:id="943"/>
      <w:bookmarkEnd w:id="944"/>
      <w:bookmarkEnd w:id="945"/>
      <w:bookmarkEnd w:id="946"/>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以任务设计的路径造就学习的驱动力，是驱动学习方法的实质所在，有效的驱动学习，需要在理论和实践两个方面做到双管齐下。</w:t>
      </w:r>
    </w:p>
    <w:p w:rsidR="00481206" w:rsidRPr="00481206" w:rsidRDefault="00481206" w:rsidP="00481206">
      <w:pPr>
        <w:numPr>
          <w:ilvl w:val="0"/>
          <w:numId w:val="20"/>
        </w:numPr>
        <w:spacing w:line="360" w:lineRule="auto"/>
        <w:ind w:left="840"/>
        <w:rPr>
          <w:rFonts w:ascii="宋体" w:hAnsi="宋体" w:cs="宋体"/>
          <w:sz w:val="24"/>
        </w:rPr>
      </w:pPr>
      <w:r w:rsidRPr="00481206">
        <w:rPr>
          <w:rFonts w:ascii="宋体" w:hAnsi="宋体" w:cs="宋体" w:hint="eastAsia"/>
          <w:sz w:val="24"/>
        </w:rPr>
        <w:t>理论上。教师给学生布置探究性的学习任务，学生查阅资料，对知识体系进行整理，再选出代表进行讲解，最后由教师进行总结。任务驱动教学法可以以小组为单位进行，也可以以个人为单位组织进行，它要求教师布置任务要具体，其他学生要极积提问，以达到共同学习的目的。任务驱动教学法可以让学生在完成“任务”的过程中，培养分析问题、解决问题的能力，培养学生独立探索及合作精神。</w:t>
      </w:r>
    </w:p>
    <w:p w:rsidR="00481206" w:rsidRPr="00481206" w:rsidRDefault="00481206" w:rsidP="00481206">
      <w:pPr>
        <w:numPr>
          <w:ilvl w:val="0"/>
          <w:numId w:val="20"/>
        </w:numPr>
        <w:spacing w:line="360" w:lineRule="auto"/>
        <w:ind w:left="840"/>
        <w:rPr>
          <w:rFonts w:ascii="宋体" w:hAnsi="宋体" w:cs="宋体"/>
          <w:sz w:val="24"/>
        </w:rPr>
      </w:pPr>
      <w:r w:rsidRPr="00481206">
        <w:rPr>
          <w:rFonts w:ascii="宋体" w:hAnsi="宋体" w:cs="宋体" w:hint="eastAsia"/>
          <w:sz w:val="24"/>
        </w:rPr>
        <w:t>实践上。结合理论相关环节，做好事前性经验实践的任务安排，并辅之以随机抽样性质的课堂设问式检验，形成行推动学生积极实践的驱动力，实现在实践中深化理论认识的学习效果。</w:t>
      </w:r>
    </w:p>
    <w:p w:rsidR="00481206" w:rsidRPr="00481206" w:rsidRDefault="00481206" w:rsidP="00481206">
      <w:pPr>
        <w:pStyle w:val="3"/>
        <w:spacing w:before="0" w:after="0" w:line="360" w:lineRule="auto"/>
        <w:rPr>
          <w:rFonts w:ascii="宋体" w:hAnsi="宋体" w:cs="宋体"/>
          <w:b w:val="0"/>
          <w:sz w:val="24"/>
          <w:szCs w:val="24"/>
        </w:rPr>
      </w:pPr>
      <w:r w:rsidRPr="00481206">
        <w:rPr>
          <w:rFonts w:ascii="宋体" w:hAnsi="宋体" w:cs="宋体" w:hint="eastAsia"/>
          <w:sz w:val="24"/>
          <w:szCs w:val="24"/>
        </w:rPr>
        <w:t xml:space="preserve">    </w:t>
      </w:r>
      <w:bookmarkStart w:id="947" w:name="_Toc403319330"/>
      <w:bookmarkStart w:id="948" w:name="_Toc16735"/>
      <w:bookmarkStart w:id="949" w:name="_Toc12305"/>
      <w:bookmarkStart w:id="950" w:name="_Toc430424567"/>
      <w:bookmarkStart w:id="951" w:name="_Toc474271902"/>
      <w:r w:rsidRPr="00481206">
        <w:rPr>
          <w:rFonts w:ascii="宋体" w:hAnsi="宋体" w:cs="宋体" w:hint="eastAsia"/>
          <w:b w:val="0"/>
          <w:sz w:val="24"/>
          <w:szCs w:val="24"/>
        </w:rPr>
        <w:t>14.7.5自主学习法</w:t>
      </w:r>
      <w:bookmarkEnd w:id="947"/>
      <w:bookmarkEnd w:id="948"/>
      <w:bookmarkEnd w:id="949"/>
      <w:bookmarkEnd w:id="950"/>
      <w:bookmarkEnd w:id="951"/>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为了充分拓展学生的视野，培养学生的学习习惯和自主学习能力，锻炼学生的综合素质，通常给学生留思考题或对遇到一些生产问题，让学生利用网络资源自主学习的方</w:t>
      </w:r>
      <w:r w:rsidRPr="00481206">
        <w:rPr>
          <w:rFonts w:ascii="宋体" w:hAnsi="宋体" w:cs="宋体" w:hint="eastAsia"/>
          <w:sz w:val="24"/>
        </w:rPr>
        <w:lastRenderedPageBreak/>
        <w:t>式寻找答案，提出解决问题的措施，然后提出讨论评价。</w:t>
      </w:r>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基本要求：确定目标；提供资源；提示路径；实施激励。</w:t>
      </w:r>
    </w:p>
    <w:p w:rsidR="00481206" w:rsidRPr="00481206" w:rsidRDefault="00481206" w:rsidP="00481206">
      <w:pPr>
        <w:pStyle w:val="3"/>
        <w:spacing w:before="0" w:after="0" w:line="360" w:lineRule="auto"/>
        <w:rPr>
          <w:rFonts w:ascii="宋体" w:hAnsi="宋体" w:cs="宋体"/>
          <w:b w:val="0"/>
          <w:sz w:val="24"/>
          <w:szCs w:val="24"/>
        </w:rPr>
      </w:pPr>
      <w:r w:rsidRPr="00481206">
        <w:rPr>
          <w:rFonts w:ascii="宋体" w:hAnsi="宋体" w:cs="宋体" w:hint="eastAsia"/>
          <w:sz w:val="24"/>
          <w:szCs w:val="24"/>
        </w:rPr>
        <w:t xml:space="preserve">    </w:t>
      </w:r>
      <w:bookmarkStart w:id="952" w:name="_Toc403319331"/>
      <w:bookmarkStart w:id="953" w:name="_Toc25115"/>
      <w:bookmarkStart w:id="954" w:name="_Toc782"/>
      <w:bookmarkStart w:id="955" w:name="_Toc430424568"/>
      <w:bookmarkStart w:id="956" w:name="_Toc474271903"/>
      <w:r w:rsidRPr="00481206">
        <w:rPr>
          <w:rFonts w:ascii="宋体" w:hAnsi="宋体" w:cs="宋体" w:hint="eastAsia"/>
          <w:b w:val="0"/>
          <w:sz w:val="24"/>
          <w:szCs w:val="24"/>
        </w:rPr>
        <w:t>14.7.6练习法</w:t>
      </w:r>
      <w:bookmarkEnd w:id="952"/>
      <w:bookmarkEnd w:id="953"/>
      <w:bookmarkEnd w:id="954"/>
      <w:bookmarkEnd w:id="955"/>
      <w:bookmarkEnd w:id="956"/>
    </w:p>
    <w:p w:rsidR="00481206" w:rsidRPr="00481206" w:rsidRDefault="00481206" w:rsidP="00481206">
      <w:pPr>
        <w:spacing w:line="360" w:lineRule="auto"/>
        <w:rPr>
          <w:rFonts w:ascii="宋体" w:hAnsi="宋体" w:cs="宋体"/>
          <w:sz w:val="24"/>
        </w:rPr>
      </w:pPr>
      <w:r w:rsidRPr="00481206">
        <w:rPr>
          <w:rFonts w:ascii="宋体" w:hAnsi="宋体" w:cs="宋体" w:hint="eastAsia"/>
          <w:sz w:val="24"/>
        </w:rPr>
        <w:t xml:space="preserve">    练习法是学生在教师的指导下巩固知识、运用知识、形成技能技巧的方法。在教学中，练习法被各科教学广泛采用。基本做法如下：</w:t>
      </w:r>
    </w:p>
    <w:p w:rsidR="00481206" w:rsidRPr="00481206" w:rsidRDefault="00481206" w:rsidP="00481206">
      <w:pPr>
        <w:numPr>
          <w:ilvl w:val="0"/>
          <w:numId w:val="21"/>
        </w:numPr>
        <w:spacing w:line="360" w:lineRule="auto"/>
        <w:ind w:left="840"/>
        <w:rPr>
          <w:rFonts w:ascii="宋体" w:hAnsi="宋体" w:cs="宋体"/>
          <w:sz w:val="24"/>
        </w:rPr>
      </w:pPr>
      <w:r w:rsidRPr="00481206">
        <w:rPr>
          <w:rFonts w:ascii="宋体" w:hAnsi="宋体" w:cs="宋体" w:hint="eastAsia"/>
          <w:sz w:val="24"/>
        </w:rPr>
        <w:t>通过语言练习，就专题性话题进行争鸣式讨论，在相对自由的氛围中，通过互动与激励，培养学生的表达能力，增进学生的自信心；</w:t>
      </w:r>
    </w:p>
    <w:p w:rsidR="00481206" w:rsidRPr="00481206" w:rsidRDefault="00481206" w:rsidP="00481206">
      <w:pPr>
        <w:numPr>
          <w:ilvl w:val="0"/>
          <w:numId w:val="21"/>
        </w:numPr>
        <w:spacing w:line="360" w:lineRule="auto"/>
        <w:ind w:left="840"/>
        <w:rPr>
          <w:rFonts w:ascii="宋体" w:hAnsi="宋体" w:cs="宋体"/>
          <w:sz w:val="24"/>
        </w:rPr>
      </w:pPr>
      <w:r w:rsidRPr="00481206">
        <w:rPr>
          <w:rFonts w:ascii="宋体" w:hAnsi="宋体" w:cs="宋体" w:hint="eastAsia"/>
          <w:sz w:val="24"/>
        </w:rPr>
        <w:t>通过问答式练习，加深学生对知识点的掌握与理解，提升学习的积极性和关注度，保持思维的活跃度，形成积极善思的好习惯；</w:t>
      </w:r>
    </w:p>
    <w:p w:rsidR="00481206" w:rsidRPr="00481206" w:rsidRDefault="00481206" w:rsidP="00481206">
      <w:pPr>
        <w:numPr>
          <w:ilvl w:val="0"/>
          <w:numId w:val="21"/>
        </w:numPr>
        <w:spacing w:line="360" w:lineRule="auto"/>
        <w:ind w:left="840"/>
        <w:rPr>
          <w:rFonts w:ascii="宋体" w:hAnsi="宋体" w:cs="宋体"/>
          <w:sz w:val="24"/>
        </w:rPr>
      </w:pPr>
      <w:r w:rsidRPr="00481206">
        <w:rPr>
          <w:rFonts w:ascii="宋体" w:hAnsi="宋体" w:cs="宋体" w:hint="eastAsia"/>
          <w:sz w:val="24"/>
        </w:rPr>
        <w:t>通过演算练习，熟练掌握</w:t>
      </w:r>
      <w:r w:rsidRPr="00481206">
        <w:rPr>
          <w:rFonts w:hint="eastAsia"/>
          <w:sz w:val="24"/>
        </w:rPr>
        <w:t>衍生金融产品概论</w:t>
      </w:r>
      <w:r w:rsidRPr="00481206">
        <w:rPr>
          <w:rFonts w:ascii="宋体" w:hAnsi="宋体" w:cs="宋体" w:hint="eastAsia"/>
          <w:sz w:val="24"/>
        </w:rPr>
        <w:t>相关的定量分析方法，熟悉相关的专业学科知识，达到提升科学决策能力的效果。</w:t>
      </w:r>
    </w:p>
    <w:p w:rsidR="00481206" w:rsidRPr="00481206" w:rsidRDefault="00481206" w:rsidP="00481206">
      <w:pPr>
        <w:pStyle w:val="3"/>
        <w:spacing w:before="0" w:after="0" w:line="360" w:lineRule="auto"/>
        <w:rPr>
          <w:rFonts w:ascii="宋体" w:hAnsi="宋体" w:cs="宋体"/>
          <w:sz w:val="28"/>
          <w:szCs w:val="28"/>
        </w:rPr>
      </w:pPr>
      <w:bookmarkStart w:id="957" w:name="_Toc403319332"/>
      <w:bookmarkStart w:id="958" w:name="_Toc21370"/>
      <w:bookmarkStart w:id="959" w:name="_Toc474271904"/>
      <w:r w:rsidRPr="00481206">
        <w:rPr>
          <w:rFonts w:ascii="宋体" w:hAnsi="宋体" w:cs="宋体" w:hint="eastAsia"/>
          <w:sz w:val="28"/>
          <w:szCs w:val="28"/>
        </w:rPr>
        <w:t>14.8课程大纲实施过程的辅助制表</w:t>
      </w:r>
      <w:bookmarkEnd w:id="957"/>
      <w:bookmarkEnd w:id="958"/>
      <w:bookmarkEnd w:id="959"/>
    </w:p>
    <w:p w:rsidR="00481206" w:rsidRPr="00481206" w:rsidRDefault="00481206" w:rsidP="00481206">
      <w:pPr>
        <w:spacing w:line="360" w:lineRule="auto"/>
        <w:rPr>
          <w:rFonts w:ascii="宋体" w:hAnsi="宋体" w:cs="宋体"/>
          <w:b/>
          <w:sz w:val="24"/>
        </w:rPr>
      </w:pPr>
      <w:r w:rsidRPr="00481206">
        <w:rPr>
          <w:rFonts w:ascii="宋体" w:hAnsi="宋体" w:cs="宋体" w:hint="eastAsia"/>
          <w:b/>
          <w:sz w:val="24"/>
        </w:rPr>
        <w:t xml:space="preserve">    </w:t>
      </w:r>
      <w:r w:rsidRPr="00481206">
        <w:rPr>
          <w:rFonts w:ascii="宋体" w:hAnsi="宋体" w:cs="宋体" w:hint="eastAsia"/>
          <w:sz w:val="24"/>
        </w:rPr>
        <w:t>为保证课程教学过程的有效实施，需要建立有关的数据信息备份。《</w:t>
      </w:r>
      <w:r w:rsidRPr="00481206">
        <w:rPr>
          <w:rFonts w:hint="eastAsia"/>
          <w:sz w:val="24"/>
        </w:rPr>
        <w:t>衍生金融产品概论</w:t>
      </w:r>
      <w:r w:rsidRPr="00481206">
        <w:rPr>
          <w:rFonts w:ascii="宋体" w:hAnsi="宋体" w:cs="宋体" w:hint="eastAsia"/>
          <w:sz w:val="24"/>
        </w:rPr>
        <w:t>》课程教学中，通常都经验性地建立了如下的数据信息。</w:t>
      </w:r>
    </w:p>
    <w:p w:rsidR="00481206" w:rsidRPr="00481206" w:rsidRDefault="00481206" w:rsidP="005318D5">
      <w:pPr>
        <w:spacing w:afterLines="50" w:line="360" w:lineRule="auto"/>
        <w:jc w:val="center"/>
        <w:rPr>
          <w:rFonts w:ascii="黑体" w:eastAsia="黑体" w:hAnsi="黑体" w:cs="黑体"/>
          <w:bCs/>
          <w:szCs w:val="21"/>
        </w:rPr>
      </w:pPr>
      <w:r w:rsidRPr="00481206">
        <w:rPr>
          <w:rFonts w:ascii="黑体" w:eastAsia="黑体" w:hAnsi="黑体" w:cs="黑体" w:hint="eastAsia"/>
          <w:bCs/>
          <w:szCs w:val="21"/>
        </w:rPr>
        <w:t>表14.8-1   教学班班委联系方式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6"/>
        <w:gridCol w:w="2327"/>
        <w:gridCol w:w="1486"/>
        <w:gridCol w:w="1462"/>
      </w:tblGrid>
      <w:tr w:rsidR="00481206" w:rsidRPr="00481206" w:rsidTr="00CF0F4C">
        <w:trPr>
          <w:jc w:val="center"/>
        </w:trPr>
        <w:tc>
          <w:tcPr>
            <w:tcW w:w="956" w:type="dxa"/>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姓名</w:t>
            </w:r>
          </w:p>
        </w:tc>
        <w:tc>
          <w:tcPr>
            <w:tcW w:w="2327" w:type="dxa"/>
            <w:vAlign w:val="center"/>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班级专业</w:t>
            </w:r>
          </w:p>
        </w:tc>
        <w:tc>
          <w:tcPr>
            <w:tcW w:w="1486" w:type="dxa"/>
            <w:vAlign w:val="center"/>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联系电话</w:t>
            </w:r>
          </w:p>
        </w:tc>
        <w:tc>
          <w:tcPr>
            <w:tcW w:w="1462" w:type="dxa"/>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QQ号码</w:t>
            </w:r>
          </w:p>
        </w:tc>
      </w:tr>
      <w:tr w:rsidR="00481206" w:rsidRPr="00481206" w:rsidTr="00CF0F4C">
        <w:trPr>
          <w:jc w:val="center"/>
        </w:trPr>
        <w:tc>
          <w:tcPr>
            <w:tcW w:w="956" w:type="dxa"/>
          </w:tcPr>
          <w:p w:rsidR="00481206" w:rsidRPr="00481206" w:rsidRDefault="00481206" w:rsidP="00CF0F4C">
            <w:pPr>
              <w:spacing w:line="360" w:lineRule="auto"/>
              <w:jc w:val="center"/>
              <w:rPr>
                <w:rFonts w:ascii="宋体" w:hAnsi="宋体" w:cs="宋体"/>
                <w:sz w:val="24"/>
              </w:rPr>
            </w:pPr>
            <w:r w:rsidRPr="00481206">
              <w:rPr>
                <w:rFonts w:ascii="宋体" w:hAnsi="宋体" w:cs="宋体" w:hint="eastAsia"/>
                <w:sz w:val="24"/>
              </w:rPr>
              <w:t>XXX</w:t>
            </w:r>
          </w:p>
        </w:tc>
        <w:tc>
          <w:tcPr>
            <w:tcW w:w="2327" w:type="dxa"/>
            <w:vAlign w:val="center"/>
          </w:tcPr>
          <w:p w:rsidR="00481206" w:rsidRPr="00481206" w:rsidRDefault="00481206" w:rsidP="00CF0F4C">
            <w:pPr>
              <w:spacing w:line="360" w:lineRule="auto"/>
              <w:jc w:val="center"/>
              <w:rPr>
                <w:rFonts w:ascii="宋体" w:hAnsi="宋体" w:cs="宋体"/>
                <w:sz w:val="24"/>
              </w:rPr>
            </w:pPr>
            <w:r w:rsidRPr="00481206">
              <w:rPr>
                <w:rFonts w:ascii="宋体" w:hAnsi="宋体" w:cs="宋体" w:hint="eastAsia"/>
                <w:sz w:val="24"/>
              </w:rPr>
              <w:t>X级X专业X班</w:t>
            </w:r>
          </w:p>
        </w:tc>
        <w:tc>
          <w:tcPr>
            <w:tcW w:w="1486" w:type="dxa"/>
            <w:vAlign w:val="center"/>
          </w:tcPr>
          <w:p w:rsidR="00481206" w:rsidRPr="00481206" w:rsidRDefault="00481206" w:rsidP="00CF0F4C">
            <w:pPr>
              <w:spacing w:line="360" w:lineRule="auto"/>
              <w:jc w:val="center"/>
              <w:rPr>
                <w:rFonts w:ascii="宋体" w:hAnsi="宋体" w:cs="宋体"/>
                <w:sz w:val="24"/>
              </w:rPr>
            </w:pPr>
          </w:p>
        </w:tc>
        <w:tc>
          <w:tcPr>
            <w:tcW w:w="1462" w:type="dxa"/>
          </w:tcPr>
          <w:p w:rsidR="00481206" w:rsidRPr="00481206" w:rsidRDefault="00481206" w:rsidP="00CF0F4C">
            <w:pPr>
              <w:spacing w:line="360" w:lineRule="auto"/>
              <w:jc w:val="center"/>
              <w:rPr>
                <w:rFonts w:ascii="宋体" w:hAnsi="宋体" w:cs="宋体"/>
                <w:sz w:val="24"/>
              </w:rPr>
            </w:pPr>
          </w:p>
        </w:tc>
      </w:tr>
      <w:tr w:rsidR="00481206" w:rsidRPr="00481206" w:rsidTr="00CF0F4C">
        <w:trPr>
          <w:jc w:val="center"/>
        </w:trPr>
        <w:tc>
          <w:tcPr>
            <w:tcW w:w="956" w:type="dxa"/>
          </w:tcPr>
          <w:p w:rsidR="00481206" w:rsidRPr="00481206" w:rsidRDefault="00481206" w:rsidP="00CF0F4C">
            <w:pPr>
              <w:spacing w:line="360" w:lineRule="auto"/>
              <w:jc w:val="center"/>
              <w:rPr>
                <w:rFonts w:ascii="宋体" w:hAnsi="宋体" w:cs="宋体"/>
                <w:sz w:val="24"/>
              </w:rPr>
            </w:pPr>
            <w:r w:rsidRPr="00481206">
              <w:rPr>
                <w:rFonts w:ascii="宋体" w:hAnsi="宋体" w:cs="宋体" w:hint="eastAsia"/>
                <w:sz w:val="24"/>
              </w:rPr>
              <w:t>***</w:t>
            </w:r>
          </w:p>
        </w:tc>
        <w:tc>
          <w:tcPr>
            <w:tcW w:w="2327" w:type="dxa"/>
            <w:vAlign w:val="center"/>
          </w:tcPr>
          <w:p w:rsidR="00481206" w:rsidRPr="00481206" w:rsidRDefault="00481206" w:rsidP="00CF0F4C">
            <w:pPr>
              <w:spacing w:line="360" w:lineRule="auto"/>
              <w:jc w:val="center"/>
              <w:rPr>
                <w:rFonts w:ascii="宋体" w:hAnsi="宋体" w:cs="宋体"/>
                <w:sz w:val="24"/>
              </w:rPr>
            </w:pPr>
            <w:r w:rsidRPr="00481206">
              <w:rPr>
                <w:rFonts w:ascii="宋体" w:hAnsi="宋体" w:cs="宋体" w:hint="eastAsia"/>
                <w:sz w:val="24"/>
              </w:rPr>
              <w:t>******</w:t>
            </w:r>
          </w:p>
        </w:tc>
        <w:tc>
          <w:tcPr>
            <w:tcW w:w="1486" w:type="dxa"/>
            <w:vAlign w:val="center"/>
          </w:tcPr>
          <w:p w:rsidR="00481206" w:rsidRPr="00481206" w:rsidRDefault="00481206" w:rsidP="00CF0F4C">
            <w:pPr>
              <w:spacing w:line="360" w:lineRule="auto"/>
              <w:jc w:val="center"/>
              <w:rPr>
                <w:rFonts w:ascii="宋体" w:hAnsi="宋体" w:cs="宋体"/>
                <w:sz w:val="24"/>
              </w:rPr>
            </w:pPr>
          </w:p>
        </w:tc>
        <w:tc>
          <w:tcPr>
            <w:tcW w:w="1462" w:type="dxa"/>
          </w:tcPr>
          <w:p w:rsidR="00481206" w:rsidRPr="00481206" w:rsidRDefault="00481206" w:rsidP="00CF0F4C">
            <w:pPr>
              <w:spacing w:line="360" w:lineRule="auto"/>
              <w:jc w:val="center"/>
              <w:rPr>
                <w:rFonts w:ascii="宋体" w:hAnsi="宋体" w:cs="宋体"/>
                <w:sz w:val="24"/>
              </w:rPr>
            </w:pPr>
          </w:p>
        </w:tc>
      </w:tr>
    </w:tbl>
    <w:p w:rsidR="00481206" w:rsidRPr="00481206" w:rsidRDefault="00481206" w:rsidP="005318D5">
      <w:pPr>
        <w:spacing w:afterLines="50" w:line="360" w:lineRule="auto"/>
        <w:jc w:val="center"/>
        <w:rPr>
          <w:rFonts w:ascii="黑体" w:eastAsia="黑体" w:hAnsi="黑体" w:cs="黑体"/>
          <w:bCs/>
          <w:szCs w:val="21"/>
        </w:rPr>
      </w:pPr>
      <w:r w:rsidRPr="00481206">
        <w:rPr>
          <w:rFonts w:ascii="黑体" w:eastAsia="黑体" w:hAnsi="黑体" w:cs="黑体" w:hint="eastAsia"/>
          <w:bCs/>
          <w:szCs w:val="21"/>
        </w:rPr>
        <w:t>表14.8-2   任课教师联系方式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1704"/>
        <w:gridCol w:w="1704"/>
        <w:gridCol w:w="1705"/>
        <w:gridCol w:w="1705"/>
      </w:tblGrid>
      <w:tr w:rsidR="00481206" w:rsidRPr="00481206" w:rsidTr="00CF0F4C">
        <w:trPr>
          <w:jc w:val="center"/>
        </w:trPr>
        <w:tc>
          <w:tcPr>
            <w:tcW w:w="1704" w:type="dxa"/>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教师姓名</w:t>
            </w:r>
          </w:p>
        </w:tc>
        <w:tc>
          <w:tcPr>
            <w:tcW w:w="1704" w:type="dxa"/>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所在院系</w:t>
            </w:r>
          </w:p>
        </w:tc>
        <w:tc>
          <w:tcPr>
            <w:tcW w:w="1704" w:type="dxa"/>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联系电话</w:t>
            </w:r>
          </w:p>
        </w:tc>
        <w:tc>
          <w:tcPr>
            <w:tcW w:w="1705" w:type="dxa"/>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QQ号码</w:t>
            </w:r>
          </w:p>
        </w:tc>
        <w:tc>
          <w:tcPr>
            <w:tcW w:w="1705" w:type="dxa"/>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家庭住址</w:t>
            </w:r>
          </w:p>
        </w:tc>
      </w:tr>
      <w:tr w:rsidR="00481206" w:rsidRPr="00481206" w:rsidTr="00CF0F4C">
        <w:trPr>
          <w:jc w:val="center"/>
        </w:trPr>
        <w:tc>
          <w:tcPr>
            <w:tcW w:w="1704" w:type="dxa"/>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XXX</w:t>
            </w:r>
          </w:p>
        </w:tc>
        <w:tc>
          <w:tcPr>
            <w:tcW w:w="1704" w:type="dxa"/>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X院X系</w:t>
            </w:r>
          </w:p>
        </w:tc>
        <w:tc>
          <w:tcPr>
            <w:tcW w:w="1704" w:type="dxa"/>
          </w:tcPr>
          <w:p w:rsidR="00481206" w:rsidRPr="00481206" w:rsidRDefault="00481206" w:rsidP="00CF0F4C">
            <w:pPr>
              <w:spacing w:line="360" w:lineRule="auto"/>
              <w:jc w:val="center"/>
              <w:rPr>
                <w:rFonts w:ascii="宋体" w:hAnsi="宋体" w:cs="宋体"/>
                <w:b/>
                <w:sz w:val="24"/>
              </w:rPr>
            </w:pPr>
          </w:p>
        </w:tc>
        <w:tc>
          <w:tcPr>
            <w:tcW w:w="1705" w:type="dxa"/>
          </w:tcPr>
          <w:p w:rsidR="00481206" w:rsidRPr="00481206" w:rsidRDefault="00481206" w:rsidP="00CF0F4C">
            <w:pPr>
              <w:spacing w:line="360" w:lineRule="auto"/>
              <w:jc w:val="center"/>
              <w:rPr>
                <w:rFonts w:ascii="宋体" w:hAnsi="宋体" w:cs="宋体"/>
                <w:b/>
                <w:sz w:val="24"/>
              </w:rPr>
            </w:pPr>
          </w:p>
        </w:tc>
        <w:tc>
          <w:tcPr>
            <w:tcW w:w="1705" w:type="dxa"/>
          </w:tcPr>
          <w:p w:rsidR="00481206" w:rsidRPr="00481206" w:rsidRDefault="00481206" w:rsidP="00CF0F4C">
            <w:pPr>
              <w:spacing w:line="360" w:lineRule="auto"/>
              <w:jc w:val="center"/>
              <w:rPr>
                <w:rFonts w:ascii="宋体" w:hAnsi="宋体" w:cs="宋体"/>
                <w:b/>
                <w:sz w:val="24"/>
              </w:rPr>
            </w:pPr>
          </w:p>
        </w:tc>
      </w:tr>
    </w:tbl>
    <w:p w:rsidR="00481206" w:rsidRPr="00481206" w:rsidRDefault="00481206" w:rsidP="005318D5">
      <w:pPr>
        <w:spacing w:afterLines="50" w:line="360" w:lineRule="auto"/>
        <w:jc w:val="center"/>
        <w:rPr>
          <w:rFonts w:ascii="黑体" w:eastAsia="黑体" w:hAnsi="黑体" w:cs="黑体"/>
          <w:bCs/>
          <w:szCs w:val="21"/>
        </w:rPr>
      </w:pPr>
      <w:r w:rsidRPr="00481206">
        <w:rPr>
          <w:rFonts w:ascii="黑体" w:eastAsia="黑体" w:hAnsi="黑体" w:cs="黑体" w:hint="eastAsia"/>
          <w:bCs/>
          <w:szCs w:val="21"/>
        </w:rPr>
        <w:t>表14.8-3 学员旷课及请假签名确认表（由相应班级班委签名）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6"/>
        <w:gridCol w:w="857"/>
        <w:gridCol w:w="850"/>
        <w:gridCol w:w="851"/>
        <w:gridCol w:w="850"/>
        <w:gridCol w:w="851"/>
        <w:gridCol w:w="709"/>
        <w:gridCol w:w="708"/>
        <w:gridCol w:w="719"/>
        <w:gridCol w:w="643"/>
      </w:tblGrid>
      <w:tr w:rsidR="00481206" w:rsidRPr="00481206" w:rsidTr="00CF0F4C">
        <w:trPr>
          <w:jc w:val="center"/>
        </w:trPr>
        <w:tc>
          <w:tcPr>
            <w:tcW w:w="1236" w:type="dxa"/>
            <w:vAlign w:val="center"/>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姓名</w:t>
            </w:r>
          </w:p>
        </w:tc>
        <w:tc>
          <w:tcPr>
            <w:tcW w:w="4259" w:type="dxa"/>
            <w:gridSpan w:val="5"/>
            <w:vAlign w:val="center"/>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[请假]班委确认</w:t>
            </w:r>
          </w:p>
        </w:tc>
        <w:tc>
          <w:tcPr>
            <w:tcW w:w="2779" w:type="dxa"/>
            <w:gridSpan w:val="4"/>
            <w:vAlign w:val="center"/>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[旷课]班委确认</w:t>
            </w:r>
          </w:p>
        </w:tc>
      </w:tr>
      <w:tr w:rsidR="00481206" w:rsidRPr="00481206" w:rsidTr="00CF0F4C">
        <w:trPr>
          <w:jc w:val="center"/>
        </w:trPr>
        <w:tc>
          <w:tcPr>
            <w:tcW w:w="1236" w:type="dxa"/>
            <w:vAlign w:val="center"/>
          </w:tcPr>
          <w:p w:rsidR="00481206" w:rsidRPr="00481206" w:rsidRDefault="00481206" w:rsidP="00CF0F4C">
            <w:pPr>
              <w:spacing w:line="360" w:lineRule="auto"/>
              <w:jc w:val="center"/>
              <w:rPr>
                <w:rFonts w:ascii="宋体" w:hAnsi="宋体" w:cs="宋体"/>
                <w:b/>
                <w:sz w:val="24"/>
              </w:rPr>
            </w:pPr>
            <w:r w:rsidRPr="00481206">
              <w:rPr>
                <w:rFonts w:ascii="宋体" w:hAnsi="宋体" w:cs="宋体" w:hint="eastAsia"/>
                <w:b/>
                <w:sz w:val="24"/>
              </w:rPr>
              <w:t>XXX</w:t>
            </w:r>
          </w:p>
        </w:tc>
        <w:tc>
          <w:tcPr>
            <w:tcW w:w="857" w:type="dxa"/>
            <w:vAlign w:val="center"/>
          </w:tcPr>
          <w:p w:rsidR="00481206" w:rsidRPr="00481206" w:rsidRDefault="00481206" w:rsidP="00CF0F4C">
            <w:pPr>
              <w:spacing w:line="360" w:lineRule="auto"/>
              <w:jc w:val="center"/>
              <w:rPr>
                <w:rFonts w:ascii="宋体" w:hAnsi="宋体" w:cs="宋体"/>
                <w:b/>
                <w:sz w:val="24"/>
              </w:rPr>
            </w:pPr>
          </w:p>
        </w:tc>
        <w:tc>
          <w:tcPr>
            <w:tcW w:w="850" w:type="dxa"/>
            <w:vAlign w:val="center"/>
          </w:tcPr>
          <w:p w:rsidR="00481206" w:rsidRPr="00481206" w:rsidRDefault="00481206" w:rsidP="00CF0F4C">
            <w:pPr>
              <w:spacing w:line="360" w:lineRule="auto"/>
              <w:jc w:val="center"/>
              <w:rPr>
                <w:rFonts w:ascii="宋体" w:hAnsi="宋体" w:cs="宋体"/>
                <w:b/>
                <w:sz w:val="24"/>
              </w:rPr>
            </w:pPr>
          </w:p>
        </w:tc>
        <w:tc>
          <w:tcPr>
            <w:tcW w:w="851" w:type="dxa"/>
            <w:vAlign w:val="center"/>
          </w:tcPr>
          <w:p w:rsidR="00481206" w:rsidRPr="00481206" w:rsidRDefault="00481206" w:rsidP="00CF0F4C">
            <w:pPr>
              <w:spacing w:line="360" w:lineRule="auto"/>
              <w:jc w:val="center"/>
              <w:rPr>
                <w:rFonts w:ascii="宋体" w:hAnsi="宋体" w:cs="宋体"/>
                <w:b/>
                <w:sz w:val="24"/>
              </w:rPr>
            </w:pPr>
          </w:p>
        </w:tc>
        <w:tc>
          <w:tcPr>
            <w:tcW w:w="850" w:type="dxa"/>
            <w:vAlign w:val="center"/>
          </w:tcPr>
          <w:p w:rsidR="00481206" w:rsidRPr="00481206" w:rsidRDefault="00481206" w:rsidP="00CF0F4C">
            <w:pPr>
              <w:spacing w:line="360" w:lineRule="auto"/>
              <w:jc w:val="center"/>
              <w:rPr>
                <w:rFonts w:ascii="宋体" w:hAnsi="宋体" w:cs="宋体"/>
                <w:b/>
                <w:sz w:val="24"/>
              </w:rPr>
            </w:pPr>
          </w:p>
        </w:tc>
        <w:tc>
          <w:tcPr>
            <w:tcW w:w="851" w:type="dxa"/>
            <w:vAlign w:val="center"/>
          </w:tcPr>
          <w:p w:rsidR="00481206" w:rsidRPr="00481206" w:rsidRDefault="00481206" w:rsidP="00CF0F4C">
            <w:pPr>
              <w:spacing w:line="360" w:lineRule="auto"/>
              <w:jc w:val="center"/>
              <w:rPr>
                <w:rFonts w:ascii="宋体" w:hAnsi="宋体" w:cs="宋体"/>
                <w:b/>
                <w:sz w:val="24"/>
              </w:rPr>
            </w:pPr>
          </w:p>
        </w:tc>
        <w:tc>
          <w:tcPr>
            <w:tcW w:w="709" w:type="dxa"/>
            <w:vAlign w:val="center"/>
          </w:tcPr>
          <w:p w:rsidR="00481206" w:rsidRPr="00481206" w:rsidRDefault="00481206" w:rsidP="00CF0F4C">
            <w:pPr>
              <w:spacing w:line="360" w:lineRule="auto"/>
              <w:jc w:val="center"/>
              <w:rPr>
                <w:rFonts w:ascii="宋体" w:hAnsi="宋体" w:cs="宋体"/>
                <w:b/>
                <w:sz w:val="24"/>
              </w:rPr>
            </w:pPr>
          </w:p>
        </w:tc>
        <w:tc>
          <w:tcPr>
            <w:tcW w:w="708" w:type="dxa"/>
            <w:vAlign w:val="center"/>
          </w:tcPr>
          <w:p w:rsidR="00481206" w:rsidRPr="00481206" w:rsidRDefault="00481206" w:rsidP="00CF0F4C">
            <w:pPr>
              <w:spacing w:line="360" w:lineRule="auto"/>
              <w:jc w:val="center"/>
              <w:rPr>
                <w:rFonts w:ascii="宋体" w:hAnsi="宋体" w:cs="宋体"/>
                <w:b/>
                <w:sz w:val="24"/>
              </w:rPr>
            </w:pPr>
          </w:p>
        </w:tc>
        <w:tc>
          <w:tcPr>
            <w:tcW w:w="719" w:type="dxa"/>
            <w:vAlign w:val="center"/>
          </w:tcPr>
          <w:p w:rsidR="00481206" w:rsidRPr="00481206" w:rsidRDefault="00481206" w:rsidP="00CF0F4C">
            <w:pPr>
              <w:spacing w:line="360" w:lineRule="auto"/>
              <w:jc w:val="center"/>
              <w:rPr>
                <w:rFonts w:ascii="宋体" w:hAnsi="宋体" w:cs="宋体"/>
                <w:b/>
                <w:sz w:val="24"/>
              </w:rPr>
            </w:pPr>
          </w:p>
        </w:tc>
        <w:tc>
          <w:tcPr>
            <w:tcW w:w="643" w:type="dxa"/>
            <w:vAlign w:val="center"/>
          </w:tcPr>
          <w:p w:rsidR="00481206" w:rsidRPr="00481206" w:rsidRDefault="00481206" w:rsidP="00CF0F4C">
            <w:pPr>
              <w:spacing w:line="360" w:lineRule="auto"/>
              <w:jc w:val="center"/>
              <w:rPr>
                <w:rFonts w:ascii="宋体" w:hAnsi="宋体" w:cs="宋体"/>
                <w:b/>
                <w:sz w:val="24"/>
              </w:rPr>
            </w:pPr>
          </w:p>
        </w:tc>
      </w:tr>
    </w:tbl>
    <w:p w:rsidR="00481206" w:rsidRPr="00481206" w:rsidRDefault="00481206" w:rsidP="00481206">
      <w:pPr>
        <w:spacing w:line="360" w:lineRule="auto"/>
        <w:rPr>
          <w:rFonts w:ascii="宋体" w:hAnsi="宋体" w:cs="宋体"/>
          <w:b/>
          <w:sz w:val="24"/>
        </w:rPr>
      </w:pPr>
    </w:p>
    <w:p w:rsidR="002E72C5" w:rsidRPr="00481206" w:rsidRDefault="002E72C5"/>
    <w:sectPr w:rsidR="002E72C5" w:rsidRPr="00481206" w:rsidSect="00252E57">
      <w:headerReference w:type="even" r:id="rId754"/>
      <w:headerReference w:type="default" r:id="rId755"/>
      <w:footerReference w:type="even" r:id="rId756"/>
      <w:footerReference w:type="default" r:id="rId757"/>
      <w:headerReference w:type="first" r:id="rId758"/>
      <w:footerReference w:type="first" r:id="rId759"/>
      <w:footnotePr>
        <w:numFmt w:val="decimalEnclosedCircle"/>
        <w:numRestart w:val="eachPage"/>
      </w:footnotePr>
      <w:pgSz w:w="11906" w:h="16838"/>
      <w:pgMar w:top="1417" w:right="1417" w:bottom="1417" w:left="1417"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57E0" w:rsidRDefault="009A57E0" w:rsidP="00252E57">
      <w:r>
        <w:separator/>
      </w:r>
    </w:p>
  </w:endnote>
  <w:endnote w:type="continuationSeparator" w:id="1">
    <w:p w:rsidR="009A57E0" w:rsidRDefault="009A57E0" w:rsidP="00252E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华文隶书">
    <w:panose1 w:val="02010800040101010101"/>
    <w:charset w:val="86"/>
    <w:family w:val="auto"/>
    <w:pitch w:val="variable"/>
    <w:sig w:usb0="00000001" w:usb1="080F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ZFPCdF-49">
    <w:altName w:val="Times New Roman"/>
    <w:panose1 w:val="00000000000000000000"/>
    <w:charset w:val="00"/>
    <w:family w:val="auto"/>
    <w:notTrueType/>
    <w:pitch w:val="default"/>
    <w:sig w:usb0="00000003" w:usb1="00000000" w:usb2="00000000" w:usb3="00000000" w:csb0="00000001" w:csb1="00000000"/>
  </w:font>
  <w:font w:name="ZFPCdG-50">
    <w:altName w:val="Times New Roman"/>
    <w:panose1 w:val="00000000000000000000"/>
    <w:charset w:val="00"/>
    <w:family w:val="auto"/>
    <w:notTrueType/>
    <w:pitch w:val="default"/>
    <w:sig w:usb0="00000003" w:usb1="00000000" w:usb2="00000000" w:usb3="00000000" w:csb0="00000001" w:csb1="00000000"/>
  </w:font>
  <w:font w:name="ZFPCdH-51">
    <w:altName w:val="Times New Roman"/>
    <w:panose1 w:val="00000000000000000000"/>
    <w:charset w:val="00"/>
    <w:family w:val="auto"/>
    <w:notTrueType/>
    <w:pitch w:val="default"/>
    <w:sig w:usb0="00000003" w:usb1="00000000" w:usb2="00000000" w:usb3="00000000" w:csb0="00000001" w:csb1="00000000"/>
  </w:font>
  <w:font w:name="方正报宋_GBK">
    <w:altName w:val="方正兰亭超细黑简体"/>
    <w:panose1 w:val="00000000000000000000"/>
    <w:charset w:val="86"/>
    <w:family w:val="auto"/>
    <w:notTrueType/>
    <w:pitch w:val="default"/>
    <w:sig w:usb0="00000001" w:usb1="080E0000" w:usb2="00000010" w:usb3="00000000" w:csb0="00040000" w:csb1="00000000"/>
  </w:font>
  <w:font w:name="ZLCG6D-2">
    <w:altName w:val="Times New Roman"/>
    <w:panose1 w:val="00000000000000000000"/>
    <w:charset w:val="00"/>
    <w:family w:val="auto"/>
    <w:notTrueType/>
    <w:pitch w:val="default"/>
    <w:sig w:usb0="00000003" w:usb1="00000000" w:usb2="00000000" w:usb3="00000000" w:csb0="00000001" w:csb1="00000000"/>
  </w:font>
  <w:font w:name="方正书宋_GBK">
    <w:altName w:val="方正兰亭超细黑简体"/>
    <w:panose1 w:val="00000000000000000000"/>
    <w:charset w:val="86"/>
    <w:family w:val="auto"/>
    <w:notTrueType/>
    <w:pitch w:val="default"/>
    <w:sig w:usb0="00000001" w:usb1="080E0000" w:usb2="00000010" w:usb3="00000000" w:csb0="00040000" w:csb1="00000000"/>
  </w:font>
  <w:font w:name="ZHAGIF-5">
    <w:altName w:val="Times New Roman"/>
    <w:panose1 w:val="00000000000000000000"/>
    <w:charset w:val="00"/>
    <w:family w:val="auto"/>
    <w:notTrueType/>
    <w:pitch w:val="default"/>
    <w:sig w:usb0="00000003" w:usb1="00000000" w:usb2="00000000" w:usb3="00000000" w:csb0="00000001" w:csb1="00000000"/>
  </w:font>
  <w:font w:name="ZHAGIG-9">
    <w:altName w:val="Times New Roman"/>
    <w:panose1 w:val="00000000000000000000"/>
    <w:charset w:val="00"/>
    <w:family w:val="auto"/>
    <w:notTrueType/>
    <w:pitch w:val="default"/>
    <w:sig w:usb0="00000003" w:usb1="00000000" w:usb2="00000000" w:usb3="00000000" w:csb0="00000001" w:csb1="00000000"/>
  </w:font>
  <w:font w:name="ZHAGIF-1">
    <w:altName w:val="Times New Roman"/>
    <w:panose1 w:val="00000000000000000000"/>
    <w:charset w:val="00"/>
    <w:family w:val="auto"/>
    <w:notTrueType/>
    <w:pitch w:val="default"/>
    <w:sig w:usb0="00000003" w:usb1="00000000" w:usb2="00000000" w:usb3="00000000" w:csb0="00000001"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F87" w:rsidRDefault="009A57E0">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F87" w:rsidRDefault="00EF6E22">
    <w:pPr>
      <w:pStyle w:val="ab"/>
      <w:jc w:val="center"/>
    </w:pPr>
    <w:r>
      <w:pict>
        <v:shapetype id="_x0000_t202" coordsize="21600,21600" o:spt="202" path="m,l,21600r21600,l21600,xe">
          <v:stroke joinstyle="miter"/>
          <v:path gradientshapeok="t" o:connecttype="rect"/>
        </v:shapetype>
        <v:shape id="文本框 3734" o:spid="_x0000_s2049" type="#_x0000_t202" style="position:absolute;left:0;text-align:left;margin-left:189pt;margin-top:-1.3pt;width:57.75pt;height:15.6pt;z-index:251660288;mso-position-horizontal-relative:margin" filled="f" stroked="f">
          <v:textbox inset="0,0,0,0">
            <w:txbxContent>
              <w:p w:rsidR="00125F87" w:rsidRDefault="009908F1">
                <w:pPr>
                  <w:pStyle w:val="ab"/>
                  <w:jc w:val="center"/>
                </w:pPr>
                <w:r>
                  <w:rPr>
                    <w:rFonts w:hint="eastAsia"/>
                  </w:rPr>
                  <w:t>第</w:t>
                </w:r>
                <w:r>
                  <w:rPr>
                    <w:rFonts w:hint="eastAsia"/>
                  </w:rPr>
                  <w:t xml:space="preserve"> </w:t>
                </w:r>
                <w:r w:rsidR="00EF6E22">
                  <w:rPr>
                    <w:rFonts w:hint="eastAsia"/>
                  </w:rPr>
                  <w:fldChar w:fldCharType="begin"/>
                </w:r>
                <w:r>
                  <w:rPr>
                    <w:rFonts w:hint="eastAsia"/>
                  </w:rPr>
                  <w:instrText xml:space="preserve"> PAGE  \* MERGEFORMAT </w:instrText>
                </w:r>
                <w:r w:rsidR="00EF6E22">
                  <w:rPr>
                    <w:rFonts w:hint="eastAsia"/>
                  </w:rPr>
                  <w:fldChar w:fldCharType="separate"/>
                </w:r>
                <w:r w:rsidR="005318D5">
                  <w:rPr>
                    <w:noProof/>
                  </w:rPr>
                  <w:t>159</w:t>
                </w:r>
                <w:r w:rsidR="00EF6E22">
                  <w:rPr>
                    <w:rFonts w:hint="eastAsia"/>
                  </w:rPr>
                  <w:fldChar w:fldCharType="end"/>
                </w:r>
                <w:r>
                  <w:rPr>
                    <w:rFonts w:hint="eastAsia"/>
                  </w:rPr>
                  <w:t xml:space="preserve"> </w:t>
                </w:r>
                <w:r>
                  <w:rPr>
                    <w:rFonts w:hint="eastAsia"/>
                  </w:rPr>
                  <w:t>页</w:t>
                </w:r>
              </w:p>
            </w:txbxContent>
          </v:textbox>
          <w10:wrap anchorx="margin"/>
        </v:shape>
      </w:pict>
    </w:r>
    <w:r w:rsidR="009908F1">
      <w:rPr>
        <w:rFonts w:hint="eastAsia"/>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F87" w:rsidRDefault="009A57E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57E0" w:rsidRDefault="009A57E0" w:rsidP="00252E57">
      <w:r>
        <w:separator/>
      </w:r>
    </w:p>
  </w:footnote>
  <w:footnote w:type="continuationSeparator" w:id="1">
    <w:p w:rsidR="009A57E0" w:rsidRDefault="009A57E0" w:rsidP="00252E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F87" w:rsidRDefault="009A57E0" w:rsidP="00CD387F">
    <w:pPr>
      <w:pStyle w:val="ac"/>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F87" w:rsidRDefault="009A57E0">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F87" w:rsidRDefault="00557D57">
    <w:pPr>
      <w:pStyle w:val="ac"/>
      <w:pBdr>
        <w:bottom w:val="single" w:sz="6" w:space="0" w:color="auto"/>
      </w:pBdr>
    </w:pPr>
    <w:r w:rsidRPr="00557D57">
      <w:rPr>
        <w:noProof/>
      </w:rPr>
      <w:drawing>
        <wp:inline distT="0" distB="0" distL="0" distR="0">
          <wp:extent cx="180975" cy="180975"/>
          <wp:effectExtent l="19050" t="0" r="9525" b="0"/>
          <wp:docPr id="2" name="图片 1" descr="D:\桌面资料\经济学院图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桌面资料\经济学院图标\2.jpg"/>
                  <pic:cNvPicPr>
                    <a:picLocks noChangeAspect="1" noChangeArrowheads="1"/>
                  </pic:cNvPicPr>
                </pic:nvPicPr>
                <pic:blipFill>
                  <a:blip r:embed="rId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9908F1">
      <w:rPr>
        <w:rFonts w:hint="eastAsia"/>
      </w:rPr>
      <w:t>《衍生金融产品概论》</w:t>
    </w:r>
    <w:r w:rsidR="009908F1">
      <w:t>课程</w:t>
    </w:r>
    <w:r w:rsidR="009908F1">
      <w:rPr>
        <w:rFonts w:hint="eastAsia"/>
      </w:rPr>
      <w:t>实施大纲</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F87" w:rsidRDefault="009A57E0">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469DB"/>
    <w:multiLevelType w:val="hybridMultilevel"/>
    <w:tmpl w:val="312CB632"/>
    <w:lvl w:ilvl="0" w:tplc="718C6442">
      <w:start w:val="1"/>
      <w:numFmt w:val="japaneseCounting"/>
      <w:lvlText w:val="第%1章"/>
      <w:lvlJc w:val="left"/>
      <w:pPr>
        <w:tabs>
          <w:tab w:val="num" w:pos="3780"/>
        </w:tabs>
        <w:ind w:left="3780" w:hanging="1080"/>
      </w:pPr>
      <w:rPr>
        <w:rFonts w:hint="default"/>
      </w:rPr>
    </w:lvl>
    <w:lvl w:ilvl="1" w:tplc="5462BEA0">
      <w:start w:val="1"/>
      <w:numFmt w:val="japaneseCounting"/>
      <w:lvlText w:val="%2、"/>
      <w:lvlJc w:val="left"/>
      <w:pPr>
        <w:tabs>
          <w:tab w:val="num" w:pos="1140"/>
        </w:tabs>
        <w:ind w:left="1140" w:hanging="720"/>
      </w:pPr>
      <w:rPr>
        <w:rFonts w:hint="default"/>
        <w:sz w:val="24"/>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F3E7867"/>
    <w:multiLevelType w:val="hybridMultilevel"/>
    <w:tmpl w:val="CDB415D2"/>
    <w:lvl w:ilvl="0" w:tplc="8C620644">
      <w:start w:val="2"/>
      <w:numFmt w:val="decimal"/>
      <w:lvlText w:val="%1）"/>
      <w:lvlJc w:val="left"/>
      <w:pPr>
        <w:tabs>
          <w:tab w:val="num" w:pos="810"/>
        </w:tabs>
        <w:ind w:left="810" w:hanging="360"/>
      </w:pPr>
      <w:rPr>
        <w:rFonts w:hint="default"/>
      </w:rPr>
    </w:lvl>
    <w:lvl w:ilvl="1" w:tplc="190E8522">
      <w:start w:val="2"/>
      <w:numFmt w:val="decimal"/>
      <w:lvlText w:val="%2）"/>
      <w:lvlJc w:val="left"/>
      <w:pPr>
        <w:tabs>
          <w:tab w:val="num" w:pos="1230"/>
        </w:tabs>
        <w:ind w:left="1230" w:hanging="360"/>
      </w:pPr>
      <w:rPr>
        <w:rFonts w:hint="default"/>
      </w:rPr>
    </w:lvl>
    <w:lvl w:ilvl="2" w:tplc="89C834A6">
      <w:start w:val="2"/>
      <w:numFmt w:val="decimal"/>
      <w:lvlText w:val="%3"/>
      <w:lvlJc w:val="left"/>
      <w:pPr>
        <w:tabs>
          <w:tab w:val="num" w:pos="1650"/>
        </w:tabs>
        <w:ind w:left="1650" w:hanging="360"/>
      </w:pPr>
      <w:rPr>
        <w:rFonts w:hint="default"/>
      </w:rPr>
    </w:lvl>
    <w:lvl w:ilvl="3" w:tplc="0409000F" w:tentative="1">
      <w:start w:val="1"/>
      <w:numFmt w:val="decimal"/>
      <w:lvlText w:val="%4."/>
      <w:lvlJc w:val="left"/>
      <w:pPr>
        <w:tabs>
          <w:tab w:val="num" w:pos="2130"/>
        </w:tabs>
        <w:ind w:left="2130" w:hanging="420"/>
      </w:pPr>
    </w:lvl>
    <w:lvl w:ilvl="4" w:tplc="04090019" w:tentative="1">
      <w:start w:val="1"/>
      <w:numFmt w:val="lowerLetter"/>
      <w:lvlText w:val="%5)"/>
      <w:lvlJc w:val="left"/>
      <w:pPr>
        <w:tabs>
          <w:tab w:val="num" w:pos="2550"/>
        </w:tabs>
        <w:ind w:left="2550" w:hanging="420"/>
      </w:pPr>
    </w:lvl>
    <w:lvl w:ilvl="5" w:tplc="0409001B" w:tentative="1">
      <w:start w:val="1"/>
      <w:numFmt w:val="lowerRoman"/>
      <w:lvlText w:val="%6."/>
      <w:lvlJc w:val="righ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9" w:tentative="1">
      <w:start w:val="1"/>
      <w:numFmt w:val="lowerLetter"/>
      <w:lvlText w:val="%8)"/>
      <w:lvlJc w:val="left"/>
      <w:pPr>
        <w:tabs>
          <w:tab w:val="num" w:pos="3810"/>
        </w:tabs>
        <w:ind w:left="3810" w:hanging="420"/>
      </w:pPr>
    </w:lvl>
    <w:lvl w:ilvl="8" w:tplc="0409001B" w:tentative="1">
      <w:start w:val="1"/>
      <w:numFmt w:val="lowerRoman"/>
      <w:lvlText w:val="%9."/>
      <w:lvlJc w:val="right"/>
      <w:pPr>
        <w:tabs>
          <w:tab w:val="num" w:pos="4230"/>
        </w:tabs>
        <w:ind w:left="4230" w:hanging="420"/>
      </w:pPr>
    </w:lvl>
  </w:abstractNum>
  <w:abstractNum w:abstractNumId="2">
    <w:nsid w:val="1B320B58"/>
    <w:multiLevelType w:val="hybridMultilevel"/>
    <w:tmpl w:val="D7E4C59E"/>
    <w:lvl w:ilvl="0" w:tplc="C5E0DA7A">
      <w:start w:val="1"/>
      <w:numFmt w:val="bullet"/>
      <w:lvlText w:val=""/>
      <w:lvlJc w:val="left"/>
      <w:pPr>
        <w:tabs>
          <w:tab w:val="num" w:pos="720"/>
        </w:tabs>
        <w:ind w:left="720" w:hanging="360"/>
      </w:pPr>
      <w:rPr>
        <w:rFonts w:ascii="Wingdings" w:hAnsi="Wingdings" w:hint="default"/>
      </w:rPr>
    </w:lvl>
    <w:lvl w:ilvl="1" w:tplc="3476FF16" w:tentative="1">
      <w:start w:val="1"/>
      <w:numFmt w:val="bullet"/>
      <w:lvlText w:val=""/>
      <w:lvlJc w:val="left"/>
      <w:pPr>
        <w:tabs>
          <w:tab w:val="num" w:pos="1440"/>
        </w:tabs>
        <w:ind w:left="1440" w:hanging="360"/>
      </w:pPr>
      <w:rPr>
        <w:rFonts w:ascii="Wingdings" w:hAnsi="Wingdings" w:hint="default"/>
      </w:rPr>
    </w:lvl>
    <w:lvl w:ilvl="2" w:tplc="796473E8" w:tentative="1">
      <w:start w:val="1"/>
      <w:numFmt w:val="bullet"/>
      <w:lvlText w:val=""/>
      <w:lvlJc w:val="left"/>
      <w:pPr>
        <w:tabs>
          <w:tab w:val="num" w:pos="2160"/>
        </w:tabs>
        <w:ind w:left="2160" w:hanging="360"/>
      </w:pPr>
      <w:rPr>
        <w:rFonts w:ascii="Wingdings" w:hAnsi="Wingdings" w:hint="default"/>
      </w:rPr>
    </w:lvl>
    <w:lvl w:ilvl="3" w:tplc="236C4D60" w:tentative="1">
      <w:start w:val="1"/>
      <w:numFmt w:val="bullet"/>
      <w:lvlText w:val=""/>
      <w:lvlJc w:val="left"/>
      <w:pPr>
        <w:tabs>
          <w:tab w:val="num" w:pos="2880"/>
        </w:tabs>
        <w:ind w:left="2880" w:hanging="360"/>
      </w:pPr>
      <w:rPr>
        <w:rFonts w:ascii="Wingdings" w:hAnsi="Wingdings" w:hint="default"/>
      </w:rPr>
    </w:lvl>
    <w:lvl w:ilvl="4" w:tplc="C17E9290" w:tentative="1">
      <w:start w:val="1"/>
      <w:numFmt w:val="bullet"/>
      <w:lvlText w:val=""/>
      <w:lvlJc w:val="left"/>
      <w:pPr>
        <w:tabs>
          <w:tab w:val="num" w:pos="3600"/>
        </w:tabs>
        <w:ind w:left="3600" w:hanging="360"/>
      </w:pPr>
      <w:rPr>
        <w:rFonts w:ascii="Wingdings" w:hAnsi="Wingdings" w:hint="default"/>
      </w:rPr>
    </w:lvl>
    <w:lvl w:ilvl="5" w:tplc="3E081D1E" w:tentative="1">
      <w:start w:val="1"/>
      <w:numFmt w:val="bullet"/>
      <w:lvlText w:val=""/>
      <w:lvlJc w:val="left"/>
      <w:pPr>
        <w:tabs>
          <w:tab w:val="num" w:pos="4320"/>
        </w:tabs>
        <w:ind w:left="4320" w:hanging="360"/>
      </w:pPr>
      <w:rPr>
        <w:rFonts w:ascii="Wingdings" w:hAnsi="Wingdings" w:hint="default"/>
      </w:rPr>
    </w:lvl>
    <w:lvl w:ilvl="6" w:tplc="88664FDC" w:tentative="1">
      <w:start w:val="1"/>
      <w:numFmt w:val="bullet"/>
      <w:lvlText w:val=""/>
      <w:lvlJc w:val="left"/>
      <w:pPr>
        <w:tabs>
          <w:tab w:val="num" w:pos="5040"/>
        </w:tabs>
        <w:ind w:left="5040" w:hanging="360"/>
      </w:pPr>
      <w:rPr>
        <w:rFonts w:ascii="Wingdings" w:hAnsi="Wingdings" w:hint="default"/>
      </w:rPr>
    </w:lvl>
    <w:lvl w:ilvl="7" w:tplc="05C6FF80" w:tentative="1">
      <w:start w:val="1"/>
      <w:numFmt w:val="bullet"/>
      <w:lvlText w:val=""/>
      <w:lvlJc w:val="left"/>
      <w:pPr>
        <w:tabs>
          <w:tab w:val="num" w:pos="5760"/>
        </w:tabs>
        <w:ind w:left="5760" w:hanging="360"/>
      </w:pPr>
      <w:rPr>
        <w:rFonts w:ascii="Wingdings" w:hAnsi="Wingdings" w:hint="default"/>
      </w:rPr>
    </w:lvl>
    <w:lvl w:ilvl="8" w:tplc="75BC2416" w:tentative="1">
      <w:start w:val="1"/>
      <w:numFmt w:val="bullet"/>
      <w:lvlText w:val=""/>
      <w:lvlJc w:val="left"/>
      <w:pPr>
        <w:tabs>
          <w:tab w:val="num" w:pos="6480"/>
        </w:tabs>
        <w:ind w:left="6480" w:hanging="360"/>
      </w:pPr>
      <w:rPr>
        <w:rFonts w:ascii="Wingdings" w:hAnsi="Wingdings" w:hint="default"/>
      </w:rPr>
    </w:lvl>
  </w:abstractNum>
  <w:abstractNum w:abstractNumId="3">
    <w:nsid w:val="209D61D2"/>
    <w:multiLevelType w:val="multilevel"/>
    <w:tmpl w:val="209D61D2"/>
    <w:lvl w:ilvl="0">
      <w:start w:val="1"/>
      <w:numFmt w:val="decimal"/>
      <w:lvlText w:val="%1)"/>
      <w:lvlJc w:val="left"/>
      <w:pPr>
        <w:ind w:left="420" w:hanging="420"/>
      </w:pPr>
      <w:rPr>
        <w:rFonts w:ascii="华文隶书" w:eastAsia="华文隶书" w:hint="eastAsia"/>
        <w:b/>
        <w:color w:val="00000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2665394A"/>
    <w:multiLevelType w:val="multilevel"/>
    <w:tmpl w:val="2665394A"/>
    <w:lvl w:ilvl="0">
      <w:start w:val="1"/>
      <w:numFmt w:val="decimal"/>
      <w:lvlText w:val="%1)"/>
      <w:lvlJc w:val="left"/>
      <w:pPr>
        <w:ind w:left="420" w:hanging="420"/>
      </w:pPr>
      <w:rPr>
        <w:rFonts w:ascii="华文隶书" w:eastAsia="华文隶书" w:hint="eastAsia"/>
        <w:b/>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A326B30"/>
    <w:multiLevelType w:val="multilevel"/>
    <w:tmpl w:val="2A326B30"/>
    <w:lvl w:ilvl="0">
      <w:start w:val="1"/>
      <w:numFmt w:val="decimal"/>
      <w:lvlText w:val="%1)"/>
      <w:lvlJc w:val="left"/>
      <w:pPr>
        <w:ind w:left="1680" w:hanging="420"/>
      </w:pPr>
      <w:rPr>
        <w:rFonts w:ascii="华文隶书" w:eastAsia="华文隶书" w:hint="eastAsia"/>
        <w:b/>
        <w:color w:val="000000"/>
      </w:r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6">
    <w:nsid w:val="2B493C39"/>
    <w:multiLevelType w:val="hybridMultilevel"/>
    <w:tmpl w:val="B19EAD64"/>
    <w:lvl w:ilvl="0" w:tplc="E9FE4C32">
      <w:start w:val="1"/>
      <w:numFmt w:val="japaneseCounting"/>
      <w:lvlText w:val="%1、"/>
      <w:lvlJc w:val="left"/>
      <w:pPr>
        <w:tabs>
          <w:tab w:val="num" w:pos="945"/>
        </w:tabs>
        <w:ind w:left="945" w:hanging="420"/>
      </w:pPr>
      <w:rPr>
        <w:rFonts w:hint="default"/>
      </w:rPr>
    </w:lvl>
    <w:lvl w:ilvl="1" w:tplc="04090019" w:tentative="1">
      <w:start w:val="1"/>
      <w:numFmt w:val="lowerLetter"/>
      <w:lvlText w:val="%2)"/>
      <w:lvlJc w:val="left"/>
      <w:pPr>
        <w:tabs>
          <w:tab w:val="num" w:pos="1050"/>
        </w:tabs>
        <w:ind w:left="1050" w:hanging="420"/>
      </w:pPr>
    </w:lvl>
    <w:lvl w:ilvl="2" w:tplc="0409001B" w:tentative="1">
      <w:start w:val="1"/>
      <w:numFmt w:val="lowerRoman"/>
      <w:lvlText w:val="%3."/>
      <w:lvlJc w:val="righ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9" w:tentative="1">
      <w:start w:val="1"/>
      <w:numFmt w:val="lowerLetter"/>
      <w:lvlText w:val="%5)"/>
      <w:lvlJc w:val="left"/>
      <w:pPr>
        <w:tabs>
          <w:tab w:val="num" w:pos="2310"/>
        </w:tabs>
        <w:ind w:left="2310" w:hanging="420"/>
      </w:pPr>
    </w:lvl>
    <w:lvl w:ilvl="5" w:tplc="0409001B" w:tentative="1">
      <w:start w:val="1"/>
      <w:numFmt w:val="lowerRoman"/>
      <w:lvlText w:val="%6."/>
      <w:lvlJc w:val="righ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9" w:tentative="1">
      <w:start w:val="1"/>
      <w:numFmt w:val="lowerLetter"/>
      <w:lvlText w:val="%8)"/>
      <w:lvlJc w:val="left"/>
      <w:pPr>
        <w:tabs>
          <w:tab w:val="num" w:pos="3570"/>
        </w:tabs>
        <w:ind w:left="3570" w:hanging="420"/>
      </w:pPr>
    </w:lvl>
    <w:lvl w:ilvl="8" w:tplc="0409001B" w:tentative="1">
      <w:start w:val="1"/>
      <w:numFmt w:val="lowerRoman"/>
      <w:lvlText w:val="%9."/>
      <w:lvlJc w:val="right"/>
      <w:pPr>
        <w:tabs>
          <w:tab w:val="num" w:pos="3990"/>
        </w:tabs>
        <w:ind w:left="3990" w:hanging="420"/>
      </w:pPr>
    </w:lvl>
  </w:abstractNum>
  <w:abstractNum w:abstractNumId="7">
    <w:nsid w:val="2D137713"/>
    <w:multiLevelType w:val="multilevel"/>
    <w:tmpl w:val="2D137713"/>
    <w:lvl w:ilvl="0">
      <w:start w:val="1"/>
      <w:numFmt w:val="decimal"/>
      <w:lvlText w:val="%1)"/>
      <w:lvlJc w:val="left"/>
      <w:pPr>
        <w:ind w:left="420" w:hanging="420"/>
      </w:pPr>
      <w:rPr>
        <w:rFonts w:ascii="华文隶书" w:eastAsia="华文隶书" w:hint="eastAsia"/>
        <w:b/>
        <w:color w:val="000000"/>
      </w:rPr>
    </w:lvl>
    <w:lvl w:ilvl="1">
      <w:start w:val="1"/>
      <w:numFmt w:val="decimal"/>
      <w:lvlText w:val="%2)"/>
      <w:lvlJc w:val="left"/>
      <w:pPr>
        <w:ind w:left="1140" w:hanging="720"/>
      </w:pPr>
      <w:rPr>
        <w:rFonts w:ascii="华文隶书" w:eastAsia="华文隶书" w:hint="eastAsia"/>
        <w:b/>
        <w:color w:val="FF0000"/>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2D1D7A6B"/>
    <w:multiLevelType w:val="multilevel"/>
    <w:tmpl w:val="2D1D7A6B"/>
    <w:lvl w:ilvl="0">
      <w:start w:val="1"/>
      <w:numFmt w:val="decimal"/>
      <w:lvlText w:val="%1)"/>
      <w:lvlJc w:val="left"/>
      <w:pPr>
        <w:ind w:left="420" w:hanging="420"/>
      </w:pPr>
      <w:rPr>
        <w:rFonts w:ascii="华文隶书" w:eastAsia="华文隶书" w:hint="eastAsia"/>
        <w:b/>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2FD12CC3"/>
    <w:multiLevelType w:val="hybridMultilevel"/>
    <w:tmpl w:val="48703F7C"/>
    <w:lvl w:ilvl="0" w:tplc="A2EA85A8">
      <w:start w:val="1"/>
      <w:numFmt w:val="japaneseCounting"/>
      <w:lvlText w:val="第%1节"/>
      <w:lvlJc w:val="left"/>
      <w:pPr>
        <w:tabs>
          <w:tab w:val="num" w:pos="840"/>
        </w:tabs>
        <w:ind w:left="840" w:hanging="720"/>
      </w:pPr>
      <w:rPr>
        <w:rFonts w:hint="default"/>
      </w:rPr>
    </w:lvl>
    <w:lvl w:ilvl="1" w:tplc="4F0CFE0C">
      <w:start w:val="2"/>
      <w:numFmt w:val="decimal"/>
      <w:lvlText w:val="%2）"/>
      <w:lvlJc w:val="left"/>
      <w:pPr>
        <w:tabs>
          <w:tab w:val="num" w:pos="900"/>
        </w:tabs>
        <w:ind w:left="900" w:hanging="360"/>
      </w:pPr>
      <w:rPr>
        <w:rFonts w:hint="default"/>
      </w:rPr>
    </w:lvl>
    <w:lvl w:ilvl="2" w:tplc="FD30A40C">
      <w:start w:val="7"/>
      <w:numFmt w:val="decimal"/>
      <w:lvlText w:val="第"/>
      <w:lvlJc w:val="left"/>
      <w:pPr>
        <w:tabs>
          <w:tab w:val="num" w:pos="1440"/>
        </w:tabs>
        <w:ind w:left="1440" w:hanging="480"/>
      </w:pPr>
      <w:rPr>
        <w:rFonts w:hint="default"/>
        <w:b w:val="0"/>
        <w:color w:val="000000"/>
        <w:sz w:val="24"/>
      </w:rPr>
    </w:lvl>
    <w:lvl w:ilvl="3" w:tplc="0409000F" w:tentative="1">
      <w:start w:val="1"/>
      <w:numFmt w:val="decimal"/>
      <w:lvlText w:val="%4."/>
      <w:lvlJc w:val="left"/>
      <w:pPr>
        <w:tabs>
          <w:tab w:val="num" w:pos="1800"/>
        </w:tabs>
        <w:ind w:left="1800" w:hanging="420"/>
      </w:pPr>
    </w:lvl>
    <w:lvl w:ilvl="4" w:tplc="04090019" w:tentative="1">
      <w:start w:val="1"/>
      <w:numFmt w:val="lowerLetter"/>
      <w:lvlText w:val="%5)"/>
      <w:lvlJc w:val="left"/>
      <w:pPr>
        <w:tabs>
          <w:tab w:val="num" w:pos="2220"/>
        </w:tabs>
        <w:ind w:left="2220" w:hanging="420"/>
      </w:pPr>
    </w:lvl>
    <w:lvl w:ilvl="5" w:tplc="0409001B" w:tentative="1">
      <w:start w:val="1"/>
      <w:numFmt w:val="lowerRoman"/>
      <w:lvlText w:val="%6."/>
      <w:lvlJc w:val="righ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9" w:tentative="1">
      <w:start w:val="1"/>
      <w:numFmt w:val="lowerLetter"/>
      <w:lvlText w:val="%8)"/>
      <w:lvlJc w:val="left"/>
      <w:pPr>
        <w:tabs>
          <w:tab w:val="num" w:pos="3480"/>
        </w:tabs>
        <w:ind w:left="3480" w:hanging="420"/>
      </w:pPr>
    </w:lvl>
    <w:lvl w:ilvl="8" w:tplc="0409001B" w:tentative="1">
      <w:start w:val="1"/>
      <w:numFmt w:val="lowerRoman"/>
      <w:lvlText w:val="%9."/>
      <w:lvlJc w:val="right"/>
      <w:pPr>
        <w:tabs>
          <w:tab w:val="num" w:pos="3900"/>
        </w:tabs>
        <w:ind w:left="3900" w:hanging="420"/>
      </w:pPr>
    </w:lvl>
  </w:abstractNum>
  <w:abstractNum w:abstractNumId="10">
    <w:nsid w:val="30001E68"/>
    <w:multiLevelType w:val="hybridMultilevel"/>
    <w:tmpl w:val="71C4FA72"/>
    <w:lvl w:ilvl="0" w:tplc="9A78836A">
      <w:start w:val="1"/>
      <w:numFmt w:val="bullet"/>
      <w:lvlText w:val=""/>
      <w:lvlJc w:val="left"/>
      <w:pPr>
        <w:tabs>
          <w:tab w:val="num" w:pos="720"/>
        </w:tabs>
        <w:ind w:left="720" w:hanging="360"/>
      </w:pPr>
      <w:rPr>
        <w:rFonts w:ascii="Wingdings" w:hAnsi="Wingdings" w:hint="default"/>
      </w:rPr>
    </w:lvl>
    <w:lvl w:ilvl="1" w:tplc="0720B30A" w:tentative="1">
      <w:start w:val="1"/>
      <w:numFmt w:val="bullet"/>
      <w:lvlText w:val=""/>
      <w:lvlJc w:val="left"/>
      <w:pPr>
        <w:tabs>
          <w:tab w:val="num" w:pos="1440"/>
        </w:tabs>
        <w:ind w:left="1440" w:hanging="360"/>
      </w:pPr>
      <w:rPr>
        <w:rFonts w:ascii="Wingdings" w:hAnsi="Wingdings" w:hint="default"/>
      </w:rPr>
    </w:lvl>
    <w:lvl w:ilvl="2" w:tplc="31D62400" w:tentative="1">
      <w:start w:val="1"/>
      <w:numFmt w:val="bullet"/>
      <w:lvlText w:val=""/>
      <w:lvlJc w:val="left"/>
      <w:pPr>
        <w:tabs>
          <w:tab w:val="num" w:pos="2160"/>
        </w:tabs>
        <w:ind w:left="2160" w:hanging="360"/>
      </w:pPr>
      <w:rPr>
        <w:rFonts w:ascii="Wingdings" w:hAnsi="Wingdings" w:hint="default"/>
      </w:rPr>
    </w:lvl>
    <w:lvl w:ilvl="3" w:tplc="6CDC9BE2" w:tentative="1">
      <w:start w:val="1"/>
      <w:numFmt w:val="bullet"/>
      <w:lvlText w:val=""/>
      <w:lvlJc w:val="left"/>
      <w:pPr>
        <w:tabs>
          <w:tab w:val="num" w:pos="2880"/>
        </w:tabs>
        <w:ind w:left="2880" w:hanging="360"/>
      </w:pPr>
      <w:rPr>
        <w:rFonts w:ascii="Wingdings" w:hAnsi="Wingdings" w:hint="default"/>
      </w:rPr>
    </w:lvl>
    <w:lvl w:ilvl="4" w:tplc="CF9ABFF4" w:tentative="1">
      <w:start w:val="1"/>
      <w:numFmt w:val="bullet"/>
      <w:lvlText w:val=""/>
      <w:lvlJc w:val="left"/>
      <w:pPr>
        <w:tabs>
          <w:tab w:val="num" w:pos="3600"/>
        </w:tabs>
        <w:ind w:left="3600" w:hanging="360"/>
      </w:pPr>
      <w:rPr>
        <w:rFonts w:ascii="Wingdings" w:hAnsi="Wingdings" w:hint="default"/>
      </w:rPr>
    </w:lvl>
    <w:lvl w:ilvl="5" w:tplc="A078B2FA" w:tentative="1">
      <w:start w:val="1"/>
      <w:numFmt w:val="bullet"/>
      <w:lvlText w:val=""/>
      <w:lvlJc w:val="left"/>
      <w:pPr>
        <w:tabs>
          <w:tab w:val="num" w:pos="4320"/>
        </w:tabs>
        <w:ind w:left="4320" w:hanging="360"/>
      </w:pPr>
      <w:rPr>
        <w:rFonts w:ascii="Wingdings" w:hAnsi="Wingdings" w:hint="default"/>
      </w:rPr>
    </w:lvl>
    <w:lvl w:ilvl="6" w:tplc="98047ED4" w:tentative="1">
      <w:start w:val="1"/>
      <w:numFmt w:val="bullet"/>
      <w:lvlText w:val=""/>
      <w:lvlJc w:val="left"/>
      <w:pPr>
        <w:tabs>
          <w:tab w:val="num" w:pos="5040"/>
        </w:tabs>
        <w:ind w:left="5040" w:hanging="360"/>
      </w:pPr>
      <w:rPr>
        <w:rFonts w:ascii="Wingdings" w:hAnsi="Wingdings" w:hint="default"/>
      </w:rPr>
    </w:lvl>
    <w:lvl w:ilvl="7" w:tplc="1292B516" w:tentative="1">
      <w:start w:val="1"/>
      <w:numFmt w:val="bullet"/>
      <w:lvlText w:val=""/>
      <w:lvlJc w:val="left"/>
      <w:pPr>
        <w:tabs>
          <w:tab w:val="num" w:pos="5760"/>
        </w:tabs>
        <w:ind w:left="5760" w:hanging="360"/>
      </w:pPr>
      <w:rPr>
        <w:rFonts w:ascii="Wingdings" w:hAnsi="Wingdings" w:hint="default"/>
      </w:rPr>
    </w:lvl>
    <w:lvl w:ilvl="8" w:tplc="8162FBE4" w:tentative="1">
      <w:start w:val="1"/>
      <w:numFmt w:val="bullet"/>
      <w:lvlText w:val=""/>
      <w:lvlJc w:val="left"/>
      <w:pPr>
        <w:tabs>
          <w:tab w:val="num" w:pos="6480"/>
        </w:tabs>
        <w:ind w:left="6480" w:hanging="360"/>
      </w:pPr>
      <w:rPr>
        <w:rFonts w:ascii="Wingdings" w:hAnsi="Wingdings" w:hint="default"/>
      </w:rPr>
    </w:lvl>
  </w:abstractNum>
  <w:abstractNum w:abstractNumId="11">
    <w:nsid w:val="313D2AAA"/>
    <w:multiLevelType w:val="hybridMultilevel"/>
    <w:tmpl w:val="CCF6B96A"/>
    <w:lvl w:ilvl="0" w:tplc="A90240A0">
      <w:start w:val="1"/>
      <w:numFmt w:val="bullet"/>
      <w:lvlText w:val=""/>
      <w:lvlJc w:val="left"/>
      <w:pPr>
        <w:tabs>
          <w:tab w:val="num" w:pos="720"/>
        </w:tabs>
        <w:ind w:left="720" w:hanging="360"/>
      </w:pPr>
      <w:rPr>
        <w:rFonts w:ascii="Wingdings" w:hAnsi="Wingdings" w:hint="default"/>
      </w:rPr>
    </w:lvl>
    <w:lvl w:ilvl="1" w:tplc="88DCC792" w:tentative="1">
      <w:start w:val="1"/>
      <w:numFmt w:val="bullet"/>
      <w:lvlText w:val=""/>
      <w:lvlJc w:val="left"/>
      <w:pPr>
        <w:tabs>
          <w:tab w:val="num" w:pos="1440"/>
        </w:tabs>
        <w:ind w:left="1440" w:hanging="360"/>
      </w:pPr>
      <w:rPr>
        <w:rFonts w:ascii="Wingdings" w:hAnsi="Wingdings" w:hint="default"/>
      </w:rPr>
    </w:lvl>
    <w:lvl w:ilvl="2" w:tplc="C6A2BE90" w:tentative="1">
      <w:start w:val="1"/>
      <w:numFmt w:val="bullet"/>
      <w:lvlText w:val=""/>
      <w:lvlJc w:val="left"/>
      <w:pPr>
        <w:tabs>
          <w:tab w:val="num" w:pos="2160"/>
        </w:tabs>
        <w:ind w:left="2160" w:hanging="360"/>
      </w:pPr>
      <w:rPr>
        <w:rFonts w:ascii="Wingdings" w:hAnsi="Wingdings" w:hint="default"/>
      </w:rPr>
    </w:lvl>
    <w:lvl w:ilvl="3" w:tplc="13DE746E" w:tentative="1">
      <w:start w:val="1"/>
      <w:numFmt w:val="bullet"/>
      <w:lvlText w:val=""/>
      <w:lvlJc w:val="left"/>
      <w:pPr>
        <w:tabs>
          <w:tab w:val="num" w:pos="2880"/>
        </w:tabs>
        <w:ind w:left="2880" w:hanging="360"/>
      </w:pPr>
      <w:rPr>
        <w:rFonts w:ascii="Wingdings" w:hAnsi="Wingdings" w:hint="default"/>
      </w:rPr>
    </w:lvl>
    <w:lvl w:ilvl="4" w:tplc="3BA2369C" w:tentative="1">
      <w:start w:val="1"/>
      <w:numFmt w:val="bullet"/>
      <w:lvlText w:val=""/>
      <w:lvlJc w:val="left"/>
      <w:pPr>
        <w:tabs>
          <w:tab w:val="num" w:pos="3600"/>
        </w:tabs>
        <w:ind w:left="3600" w:hanging="360"/>
      </w:pPr>
      <w:rPr>
        <w:rFonts w:ascii="Wingdings" w:hAnsi="Wingdings" w:hint="default"/>
      </w:rPr>
    </w:lvl>
    <w:lvl w:ilvl="5" w:tplc="52F26FF6" w:tentative="1">
      <w:start w:val="1"/>
      <w:numFmt w:val="bullet"/>
      <w:lvlText w:val=""/>
      <w:lvlJc w:val="left"/>
      <w:pPr>
        <w:tabs>
          <w:tab w:val="num" w:pos="4320"/>
        </w:tabs>
        <w:ind w:left="4320" w:hanging="360"/>
      </w:pPr>
      <w:rPr>
        <w:rFonts w:ascii="Wingdings" w:hAnsi="Wingdings" w:hint="default"/>
      </w:rPr>
    </w:lvl>
    <w:lvl w:ilvl="6" w:tplc="9C94436A" w:tentative="1">
      <w:start w:val="1"/>
      <w:numFmt w:val="bullet"/>
      <w:lvlText w:val=""/>
      <w:lvlJc w:val="left"/>
      <w:pPr>
        <w:tabs>
          <w:tab w:val="num" w:pos="5040"/>
        </w:tabs>
        <w:ind w:left="5040" w:hanging="360"/>
      </w:pPr>
      <w:rPr>
        <w:rFonts w:ascii="Wingdings" w:hAnsi="Wingdings" w:hint="default"/>
      </w:rPr>
    </w:lvl>
    <w:lvl w:ilvl="7" w:tplc="AFA49A74" w:tentative="1">
      <w:start w:val="1"/>
      <w:numFmt w:val="bullet"/>
      <w:lvlText w:val=""/>
      <w:lvlJc w:val="left"/>
      <w:pPr>
        <w:tabs>
          <w:tab w:val="num" w:pos="5760"/>
        </w:tabs>
        <w:ind w:left="5760" w:hanging="360"/>
      </w:pPr>
      <w:rPr>
        <w:rFonts w:ascii="Wingdings" w:hAnsi="Wingdings" w:hint="default"/>
      </w:rPr>
    </w:lvl>
    <w:lvl w:ilvl="8" w:tplc="F1142A46" w:tentative="1">
      <w:start w:val="1"/>
      <w:numFmt w:val="bullet"/>
      <w:lvlText w:val=""/>
      <w:lvlJc w:val="left"/>
      <w:pPr>
        <w:tabs>
          <w:tab w:val="num" w:pos="6480"/>
        </w:tabs>
        <w:ind w:left="6480" w:hanging="360"/>
      </w:pPr>
      <w:rPr>
        <w:rFonts w:ascii="Wingdings" w:hAnsi="Wingdings" w:hint="default"/>
      </w:rPr>
    </w:lvl>
  </w:abstractNum>
  <w:abstractNum w:abstractNumId="12">
    <w:nsid w:val="31956DFB"/>
    <w:multiLevelType w:val="hybridMultilevel"/>
    <w:tmpl w:val="FE9E98C8"/>
    <w:lvl w:ilvl="0" w:tplc="9FE83078">
      <w:start w:val="1"/>
      <w:numFmt w:val="bullet"/>
      <w:lvlText w:val=""/>
      <w:lvlJc w:val="left"/>
      <w:pPr>
        <w:tabs>
          <w:tab w:val="num" w:pos="720"/>
        </w:tabs>
        <w:ind w:left="720" w:hanging="360"/>
      </w:pPr>
      <w:rPr>
        <w:rFonts w:ascii="Wingdings" w:hAnsi="Wingdings" w:hint="default"/>
      </w:rPr>
    </w:lvl>
    <w:lvl w:ilvl="1" w:tplc="F77859BA" w:tentative="1">
      <w:start w:val="1"/>
      <w:numFmt w:val="bullet"/>
      <w:lvlText w:val=""/>
      <w:lvlJc w:val="left"/>
      <w:pPr>
        <w:tabs>
          <w:tab w:val="num" w:pos="1440"/>
        </w:tabs>
        <w:ind w:left="1440" w:hanging="360"/>
      </w:pPr>
      <w:rPr>
        <w:rFonts w:ascii="Wingdings" w:hAnsi="Wingdings" w:hint="default"/>
      </w:rPr>
    </w:lvl>
    <w:lvl w:ilvl="2" w:tplc="B420B9C2" w:tentative="1">
      <w:start w:val="1"/>
      <w:numFmt w:val="bullet"/>
      <w:lvlText w:val=""/>
      <w:lvlJc w:val="left"/>
      <w:pPr>
        <w:tabs>
          <w:tab w:val="num" w:pos="2160"/>
        </w:tabs>
        <w:ind w:left="2160" w:hanging="360"/>
      </w:pPr>
      <w:rPr>
        <w:rFonts w:ascii="Wingdings" w:hAnsi="Wingdings" w:hint="default"/>
      </w:rPr>
    </w:lvl>
    <w:lvl w:ilvl="3" w:tplc="C3BC7AE8" w:tentative="1">
      <w:start w:val="1"/>
      <w:numFmt w:val="bullet"/>
      <w:lvlText w:val=""/>
      <w:lvlJc w:val="left"/>
      <w:pPr>
        <w:tabs>
          <w:tab w:val="num" w:pos="2880"/>
        </w:tabs>
        <w:ind w:left="2880" w:hanging="360"/>
      </w:pPr>
      <w:rPr>
        <w:rFonts w:ascii="Wingdings" w:hAnsi="Wingdings" w:hint="default"/>
      </w:rPr>
    </w:lvl>
    <w:lvl w:ilvl="4" w:tplc="BBB6B8E8" w:tentative="1">
      <w:start w:val="1"/>
      <w:numFmt w:val="bullet"/>
      <w:lvlText w:val=""/>
      <w:lvlJc w:val="left"/>
      <w:pPr>
        <w:tabs>
          <w:tab w:val="num" w:pos="3600"/>
        </w:tabs>
        <w:ind w:left="3600" w:hanging="360"/>
      </w:pPr>
      <w:rPr>
        <w:rFonts w:ascii="Wingdings" w:hAnsi="Wingdings" w:hint="default"/>
      </w:rPr>
    </w:lvl>
    <w:lvl w:ilvl="5" w:tplc="19E01C50" w:tentative="1">
      <w:start w:val="1"/>
      <w:numFmt w:val="bullet"/>
      <w:lvlText w:val=""/>
      <w:lvlJc w:val="left"/>
      <w:pPr>
        <w:tabs>
          <w:tab w:val="num" w:pos="4320"/>
        </w:tabs>
        <w:ind w:left="4320" w:hanging="360"/>
      </w:pPr>
      <w:rPr>
        <w:rFonts w:ascii="Wingdings" w:hAnsi="Wingdings" w:hint="default"/>
      </w:rPr>
    </w:lvl>
    <w:lvl w:ilvl="6" w:tplc="9FE21E1A" w:tentative="1">
      <w:start w:val="1"/>
      <w:numFmt w:val="bullet"/>
      <w:lvlText w:val=""/>
      <w:lvlJc w:val="left"/>
      <w:pPr>
        <w:tabs>
          <w:tab w:val="num" w:pos="5040"/>
        </w:tabs>
        <w:ind w:left="5040" w:hanging="360"/>
      </w:pPr>
      <w:rPr>
        <w:rFonts w:ascii="Wingdings" w:hAnsi="Wingdings" w:hint="default"/>
      </w:rPr>
    </w:lvl>
    <w:lvl w:ilvl="7" w:tplc="44803178" w:tentative="1">
      <w:start w:val="1"/>
      <w:numFmt w:val="bullet"/>
      <w:lvlText w:val=""/>
      <w:lvlJc w:val="left"/>
      <w:pPr>
        <w:tabs>
          <w:tab w:val="num" w:pos="5760"/>
        </w:tabs>
        <w:ind w:left="5760" w:hanging="360"/>
      </w:pPr>
      <w:rPr>
        <w:rFonts w:ascii="Wingdings" w:hAnsi="Wingdings" w:hint="default"/>
      </w:rPr>
    </w:lvl>
    <w:lvl w:ilvl="8" w:tplc="4D38B076" w:tentative="1">
      <w:start w:val="1"/>
      <w:numFmt w:val="bullet"/>
      <w:lvlText w:val=""/>
      <w:lvlJc w:val="left"/>
      <w:pPr>
        <w:tabs>
          <w:tab w:val="num" w:pos="6480"/>
        </w:tabs>
        <w:ind w:left="6480" w:hanging="360"/>
      </w:pPr>
      <w:rPr>
        <w:rFonts w:ascii="Wingdings" w:hAnsi="Wingdings" w:hint="default"/>
      </w:rPr>
    </w:lvl>
  </w:abstractNum>
  <w:abstractNum w:abstractNumId="13">
    <w:nsid w:val="32D001C9"/>
    <w:multiLevelType w:val="hybridMultilevel"/>
    <w:tmpl w:val="B1D2732E"/>
    <w:lvl w:ilvl="0" w:tplc="78B6549E">
      <w:start w:val="1"/>
      <w:numFmt w:val="japaneseCounting"/>
      <w:lvlText w:val="%1、"/>
      <w:lvlJc w:val="left"/>
      <w:pPr>
        <w:tabs>
          <w:tab w:val="num" w:pos="735"/>
        </w:tabs>
        <w:ind w:left="735" w:hanging="420"/>
      </w:pPr>
      <w:rPr>
        <w:rFonts w:hint="default"/>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14">
    <w:nsid w:val="36023B5F"/>
    <w:multiLevelType w:val="hybridMultilevel"/>
    <w:tmpl w:val="BA9802D4"/>
    <w:lvl w:ilvl="0" w:tplc="108C3B3C">
      <w:start w:val="1"/>
      <w:numFmt w:val="decimal"/>
      <w:lvlText w:val="%1）"/>
      <w:lvlJc w:val="left"/>
      <w:pPr>
        <w:tabs>
          <w:tab w:val="num" w:pos="840"/>
        </w:tabs>
        <w:ind w:left="840" w:hanging="360"/>
      </w:pPr>
      <w:rPr>
        <w:rFonts w:ascii="宋体" w:hAnsi="宋体" w:cs="宋体" w:hint="default"/>
        <w:color w:val="000000"/>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5">
    <w:nsid w:val="3BB97AFD"/>
    <w:multiLevelType w:val="hybridMultilevel"/>
    <w:tmpl w:val="09C87EFA"/>
    <w:lvl w:ilvl="0" w:tplc="A18CFD54">
      <w:start w:val="1"/>
      <w:numFmt w:val="bullet"/>
      <w:lvlText w:val=""/>
      <w:lvlJc w:val="left"/>
      <w:pPr>
        <w:tabs>
          <w:tab w:val="num" w:pos="720"/>
        </w:tabs>
        <w:ind w:left="720" w:hanging="360"/>
      </w:pPr>
      <w:rPr>
        <w:rFonts w:ascii="Wingdings" w:hAnsi="Wingdings" w:hint="default"/>
      </w:rPr>
    </w:lvl>
    <w:lvl w:ilvl="1" w:tplc="38FA5348" w:tentative="1">
      <w:start w:val="1"/>
      <w:numFmt w:val="bullet"/>
      <w:lvlText w:val=""/>
      <w:lvlJc w:val="left"/>
      <w:pPr>
        <w:tabs>
          <w:tab w:val="num" w:pos="1440"/>
        </w:tabs>
        <w:ind w:left="1440" w:hanging="360"/>
      </w:pPr>
      <w:rPr>
        <w:rFonts w:ascii="Wingdings" w:hAnsi="Wingdings" w:hint="default"/>
      </w:rPr>
    </w:lvl>
    <w:lvl w:ilvl="2" w:tplc="4154A67A" w:tentative="1">
      <w:start w:val="1"/>
      <w:numFmt w:val="bullet"/>
      <w:lvlText w:val=""/>
      <w:lvlJc w:val="left"/>
      <w:pPr>
        <w:tabs>
          <w:tab w:val="num" w:pos="2160"/>
        </w:tabs>
        <w:ind w:left="2160" w:hanging="360"/>
      </w:pPr>
      <w:rPr>
        <w:rFonts w:ascii="Wingdings" w:hAnsi="Wingdings" w:hint="default"/>
      </w:rPr>
    </w:lvl>
    <w:lvl w:ilvl="3" w:tplc="03D8B434" w:tentative="1">
      <w:start w:val="1"/>
      <w:numFmt w:val="bullet"/>
      <w:lvlText w:val=""/>
      <w:lvlJc w:val="left"/>
      <w:pPr>
        <w:tabs>
          <w:tab w:val="num" w:pos="2880"/>
        </w:tabs>
        <w:ind w:left="2880" w:hanging="360"/>
      </w:pPr>
      <w:rPr>
        <w:rFonts w:ascii="Wingdings" w:hAnsi="Wingdings" w:hint="default"/>
      </w:rPr>
    </w:lvl>
    <w:lvl w:ilvl="4" w:tplc="B80E9BC0" w:tentative="1">
      <w:start w:val="1"/>
      <w:numFmt w:val="bullet"/>
      <w:lvlText w:val=""/>
      <w:lvlJc w:val="left"/>
      <w:pPr>
        <w:tabs>
          <w:tab w:val="num" w:pos="3600"/>
        </w:tabs>
        <w:ind w:left="3600" w:hanging="360"/>
      </w:pPr>
      <w:rPr>
        <w:rFonts w:ascii="Wingdings" w:hAnsi="Wingdings" w:hint="default"/>
      </w:rPr>
    </w:lvl>
    <w:lvl w:ilvl="5" w:tplc="91AE6CCA" w:tentative="1">
      <w:start w:val="1"/>
      <w:numFmt w:val="bullet"/>
      <w:lvlText w:val=""/>
      <w:lvlJc w:val="left"/>
      <w:pPr>
        <w:tabs>
          <w:tab w:val="num" w:pos="4320"/>
        </w:tabs>
        <w:ind w:left="4320" w:hanging="360"/>
      </w:pPr>
      <w:rPr>
        <w:rFonts w:ascii="Wingdings" w:hAnsi="Wingdings" w:hint="default"/>
      </w:rPr>
    </w:lvl>
    <w:lvl w:ilvl="6" w:tplc="E38610A8" w:tentative="1">
      <w:start w:val="1"/>
      <w:numFmt w:val="bullet"/>
      <w:lvlText w:val=""/>
      <w:lvlJc w:val="left"/>
      <w:pPr>
        <w:tabs>
          <w:tab w:val="num" w:pos="5040"/>
        </w:tabs>
        <w:ind w:left="5040" w:hanging="360"/>
      </w:pPr>
      <w:rPr>
        <w:rFonts w:ascii="Wingdings" w:hAnsi="Wingdings" w:hint="default"/>
      </w:rPr>
    </w:lvl>
    <w:lvl w:ilvl="7" w:tplc="65388218" w:tentative="1">
      <w:start w:val="1"/>
      <w:numFmt w:val="bullet"/>
      <w:lvlText w:val=""/>
      <w:lvlJc w:val="left"/>
      <w:pPr>
        <w:tabs>
          <w:tab w:val="num" w:pos="5760"/>
        </w:tabs>
        <w:ind w:left="5760" w:hanging="360"/>
      </w:pPr>
      <w:rPr>
        <w:rFonts w:ascii="Wingdings" w:hAnsi="Wingdings" w:hint="default"/>
      </w:rPr>
    </w:lvl>
    <w:lvl w:ilvl="8" w:tplc="57A4BB2C" w:tentative="1">
      <w:start w:val="1"/>
      <w:numFmt w:val="bullet"/>
      <w:lvlText w:val=""/>
      <w:lvlJc w:val="left"/>
      <w:pPr>
        <w:tabs>
          <w:tab w:val="num" w:pos="6480"/>
        </w:tabs>
        <w:ind w:left="6480" w:hanging="360"/>
      </w:pPr>
      <w:rPr>
        <w:rFonts w:ascii="Wingdings" w:hAnsi="Wingdings" w:hint="default"/>
      </w:rPr>
    </w:lvl>
  </w:abstractNum>
  <w:abstractNum w:abstractNumId="16">
    <w:nsid w:val="3D8007E2"/>
    <w:multiLevelType w:val="multilevel"/>
    <w:tmpl w:val="3D8007E2"/>
    <w:lvl w:ilvl="0">
      <w:start w:val="1"/>
      <w:numFmt w:val="decimal"/>
      <w:lvlText w:val="%1)"/>
      <w:lvlJc w:val="left"/>
      <w:pPr>
        <w:ind w:left="420" w:hanging="420"/>
      </w:pPr>
      <w:rPr>
        <w:rFonts w:ascii="华文隶书" w:eastAsia="华文隶书" w:hint="eastAsia"/>
        <w:b/>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40C74CEB"/>
    <w:multiLevelType w:val="multilevel"/>
    <w:tmpl w:val="40C74CEB"/>
    <w:lvl w:ilvl="0">
      <w:start w:val="1"/>
      <w:numFmt w:val="decimal"/>
      <w:lvlText w:val="%1)"/>
      <w:lvlJc w:val="left"/>
      <w:pPr>
        <w:ind w:left="420" w:hanging="420"/>
      </w:pPr>
      <w:rPr>
        <w:rFonts w:ascii="华文隶书" w:eastAsia="华文隶书" w:hint="eastAsia"/>
        <w:b/>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43ED2714"/>
    <w:multiLevelType w:val="multilevel"/>
    <w:tmpl w:val="43ED2714"/>
    <w:lvl w:ilvl="0">
      <w:start w:val="1"/>
      <w:numFmt w:val="bullet"/>
      <w:lvlText w:val=""/>
      <w:lvlJc w:val="left"/>
      <w:pPr>
        <w:ind w:left="420" w:hanging="420"/>
      </w:pPr>
      <w:rPr>
        <w:rFonts w:ascii="Wingdings" w:hAnsi="Wingdings" w:hint="default"/>
        <w:color w:val="00000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46DD3E68"/>
    <w:multiLevelType w:val="multilevel"/>
    <w:tmpl w:val="46DD3E6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4746071D"/>
    <w:multiLevelType w:val="multilevel"/>
    <w:tmpl w:val="4746071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474F7812"/>
    <w:multiLevelType w:val="hybridMultilevel"/>
    <w:tmpl w:val="1936773E"/>
    <w:lvl w:ilvl="0" w:tplc="87F44526">
      <w:start w:val="1"/>
      <w:numFmt w:val="bullet"/>
      <w:lvlText w:val=""/>
      <w:lvlJc w:val="left"/>
      <w:pPr>
        <w:ind w:left="900" w:hanging="420"/>
      </w:pPr>
      <w:rPr>
        <w:rFonts w:ascii="Wingdings" w:hAnsi="Wingdings" w:hint="default"/>
      </w:rPr>
    </w:lvl>
    <w:lvl w:ilvl="1" w:tplc="C6624BE4" w:tentative="1">
      <w:start w:val="1"/>
      <w:numFmt w:val="bullet"/>
      <w:lvlText w:val=""/>
      <w:lvlJc w:val="left"/>
      <w:pPr>
        <w:ind w:left="1320" w:hanging="420"/>
      </w:pPr>
      <w:rPr>
        <w:rFonts w:ascii="Wingdings" w:hAnsi="Wingdings" w:hint="default"/>
      </w:rPr>
    </w:lvl>
    <w:lvl w:ilvl="2" w:tplc="0409001B" w:tentative="1">
      <w:start w:val="1"/>
      <w:numFmt w:val="bullet"/>
      <w:lvlText w:val=""/>
      <w:lvlJc w:val="left"/>
      <w:pPr>
        <w:ind w:left="1740" w:hanging="420"/>
      </w:pPr>
      <w:rPr>
        <w:rFonts w:ascii="Wingdings" w:hAnsi="Wingdings" w:hint="default"/>
      </w:rPr>
    </w:lvl>
    <w:lvl w:ilvl="3" w:tplc="0409000F" w:tentative="1">
      <w:start w:val="1"/>
      <w:numFmt w:val="bullet"/>
      <w:lvlText w:val=""/>
      <w:lvlJc w:val="left"/>
      <w:pPr>
        <w:ind w:left="2160" w:hanging="420"/>
      </w:pPr>
      <w:rPr>
        <w:rFonts w:ascii="Wingdings" w:hAnsi="Wingdings" w:hint="default"/>
      </w:rPr>
    </w:lvl>
    <w:lvl w:ilvl="4" w:tplc="04090019" w:tentative="1">
      <w:start w:val="1"/>
      <w:numFmt w:val="bullet"/>
      <w:lvlText w:val=""/>
      <w:lvlJc w:val="left"/>
      <w:pPr>
        <w:ind w:left="2580" w:hanging="420"/>
      </w:pPr>
      <w:rPr>
        <w:rFonts w:ascii="Wingdings" w:hAnsi="Wingdings" w:hint="default"/>
      </w:rPr>
    </w:lvl>
    <w:lvl w:ilvl="5" w:tplc="0409001B" w:tentative="1">
      <w:start w:val="1"/>
      <w:numFmt w:val="bullet"/>
      <w:lvlText w:val=""/>
      <w:lvlJc w:val="left"/>
      <w:pPr>
        <w:ind w:left="3000" w:hanging="420"/>
      </w:pPr>
      <w:rPr>
        <w:rFonts w:ascii="Wingdings" w:hAnsi="Wingdings" w:hint="default"/>
      </w:rPr>
    </w:lvl>
    <w:lvl w:ilvl="6" w:tplc="0409000F" w:tentative="1">
      <w:start w:val="1"/>
      <w:numFmt w:val="bullet"/>
      <w:lvlText w:val=""/>
      <w:lvlJc w:val="left"/>
      <w:pPr>
        <w:ind w:left="3420" w:hanging="420"/>
      </w:pPr>
      <w:rPr>
        <w:rFonts w:ascii="Wingdings" w:hAnsi="Wingdings" w:hint="default"/>
      </w:rPr>
    </w:lvl>
    <w:lvl w:ilvl="7" w:tplc="04090019" w:tentative="1">
      <w:start w:val="1"/>
      <w:numFmt w:val="bullet"/>
      <w:lvlText w:val=""/>
      <w:lvlJc w:val="left"/>
      <w:pPr>
        <w:ind w:left="3840" w:hanging="420"/>
      </w:pPr>
      <w:rPr>
        <w:rFonts w:ascii="Wingdings" w:hAnsi="Wingdings" w:hint="default"/>
      </w:rPr>
    </w:lvl>
    <w:lvl w:ilvl="8" w:tplc="0409001B" w:tentative="1">
      <w:start w:val="1"/>
      <w:numFmt w:val="bullet"/>
      <w:lvlText w:val=""/>
      <w:lvlJc w:val="left"/>
      <w:pPr>
        <w:ind w:left="4260" w:hanging="420"/>
      </w:pPr>
      <w:rPr>
        <w:rFonts w:ascii="Wingdings" w:hAnsi="Wingdings" w:hint="default"/>
      </w:rPr>
    </w:lvl>
  </w:abstractNum>
  <w:abstractNum w:abstractNumId="22">
    <w:nsid w:val="47605E9A"/>
    <w:multiLevelType w:val="multilevel"/>
    <w:tmpl w:val="47605E9A"/>
    <w:lvl w:ilvl="0">
      <w:start w:val="1"/>
      <w:numFmt w:val="decimal"/>
      <w:lvlText w:val="%1)"/>
      <w:lvlJc w:val="left"/>
      <w:pPr>
        <w:ind w:left="420" w:hanging="420"/>
      </w:pPr>
      <w:rPr>
        <w:rFonts w:ascii="华文隶书" w:eastAsia="华文隶书" w:hint="eastAsia"/>
        <w:b/>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54F70ED4"/>
    <w:multiLevelType w:val="singleLevel"/>
    <w:tmpl w:val="54F70ED4"/>
    <w:lvl w:ilvl="0">
      <w:start w:val="1"/>
      <w:numFmt w:val="bullet"/>
      <w:lvlText w:val=""/>
      <w:lvlJc w:val="left"/>
      <w:pPr>
        <w:tabs>
          <w:tab w:val="num" w:pos="420"/>
        </w:tabs>
        <w:ind w:left="420" w:hanging="420"/>
      </w:pPr>
      <w:rPr>
        <w:rFonts w:ascii="Wingdings" w:hAnsi="Wingdings" w:hint="default"/>
      </w:rPr>
    </w:lvl>
  </w:abstractNum>
  <w:abstractNum w:abstractNumId="24">
    <w:nsid w:val="557D3871"/>
    <w:multiLevelType w:val="singleLevel"/>
    <w:tmpl w:val="557D3871"/>
    <w:lvl w:ilvl="0">
      <w:start w:val="1"/>
      <w:numFmt w:val="bullet"/>
      <w:lvlText w:val=""/>
      <w:lvlJc w:val="left"/>
      <w:pPr>
        <w:tabs>
          <w:tab w:val="num" w:pos="420"/>
        </w:tabs>
        <w:ind w:left="420" w:hanging="420"/>
      </w:pPr>
      <w:rPr>
        <w:rFonts w:ascii="Wingdings" w:hAnsi="Wingdings" w:hint="default"/>
      </w:rPr>
    </w:lvl>
  </w:abstractNum>
  <w:abstractNum w:abstractNumId="25">
    <w:nsid w:val="557D3D83"/>
    <w:multiLevelType w:val="singleLevel"/>
    <w:tmpl w:val="557D3D83"/>
    <w:lvl w:ilvl="0">
      <w:start w:val="1"/>
      <w:numFmt w:val="bullet"/>
      <w:lvlText w:val=""/>
      <w:lvlJc w:val="left"/>
      <w:pPr>
        <w:tabs>
          <w:tab w:val="num" w:pos="420"/>
        </w:tabs>
        <w:ind w:left="420" w:hanging="420"/>
      </w:pPr>
      <w:rPr>
        <w:rFonts w:ascii="Wingdings" w:hAnsi="Wingdings" w:hint="default"/>
      </w:rPr>
    </w:lvl>
  </w:abstractNum>
  <w:abstractNum w:abstractNumId="26">
    <w:nsid w:val="557D4F5F"/>
    <w:multiLevelType w:val="singleLevel"/>
    <w:tmpl w:val="557D4F5F"/>
    <w:lvl w:ilvl="0">
      <w:start w:val="1"/>
      <w:numFmt w:val="bullet"/>
      <w:lvlText w:val=""/>
      <w:lvlJc w:val="left"/>
      <w:pPr>
        <w:tabs>
          <w:tab w:val="num" w:pos="420"/>
        </w:tabs>
        <w:ind w:left="420" w:hanging="420"/>
      </w:pPr>
      <w:rPr>
        <w:rFonts w:ascii="Wingdings" w:hAnsi="Wingdings" w:hint="default"/>
      </w:rPr>
    </w:lvl>
  </w:abstractNum>
  <w:abstractNum w:abstractNumId="27">
    <w:nsid w:val="58975AB0"/>
    <w:multiLevelType w:val="multilevel"/>
    <w:tmpl w:val="58975AB0"/>
    <w:lvl w:ilvl="0">
      <w:start w:val="1"/>
      <w:numFmt w:val="decimal"/>
      <w:lvlText w:val="%1)"/>
      <w:lvlJc w:val="left"/>
      <w:pPr>
        <w:ind w:left="420" w:hanging="420"/>
      </w:pPr>
      <w:rPr>
        <w:rFonts w:ascii="华文隶书" w:eastAsia="华文隶书" w:hint="eastAsia"/>
        <w:b/>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6DC73F38"/>
    <w:multiLevelType w:val="multilevel"/>
    <w:tmpl w:val="6DC73F38"/>
    <w:lvl w:ilvl="0">
      <w:start w:val="1"/>
      <w:numFmt w:val="decimal"/>
      <w:lvlText w:val="%1)"/>
      <w:lvlJc w:val="left"/>
      <w:pPr>
        <w:ind w:left="420" w:hanging="420"/>
      </w:pPr>
      <w:rPr>
        <w:rFonts w:ascii="华文隶书" w:eastAsia="华文隶书" w:hint="eastAsia"/>
        <w:b/>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73247774"/>
    <w:multiLevelType w:val="multilevel"/>
    <w:tmpl w:val="73247774"/>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765872A0"/>
    <w:multiLevelType w:val="multilevel"/>
    <w:tmpl w:val="DC1834CA"/>
    <w:lvl w:ilvl="0">
      <w:start w:val="1"/>
      <w:numFmt w:val="decimal"/>
      <w:lvlText w:val="%1)"/>
      <w:lvlJc w:val="left"/>
      <w:pPr>
        <w:ind w:left="420" w:hanging="420"/>
      </w:pPr>
      <w:rPr>
        <w:rFonts w:ascii="华文隶书" w:eastAsia="华文隶书" w:hAnsi="宋体" w:hint="eastAsia"/>
        <w:b/>
        <w:color w:val="000000"/>
      </w:rPr>
    </w:lvl>
    <w:lvl w:ilvl="1">
      <w:start w:val="1"/>
      <w:numFmt w:val="bullet"/>
      <w:lvlText w:val=""/>
      <w:lvlJc w:val="left"/>
      <w:pPr>
        <w:ind w:left="840" w:hanging="420"/>
      </w:pPr>
      <w:rPr>
        <w:rFonts w:ascii="Wingdings" w:hAnsi="Wingdings" w:hint="default"/>
      </w:rPr>
    </w:lvl>
    <w:lvl w:ilvl="2">
      <w:start w:val="1"/>
      <w:numFmt w:val="decimal"/>
      <w:lvlText w:val="%3)"/>
      <w:lvlJc w:val="left"/>
      <w:pPr>
        <w:ind w:left="1260" w:hanging="420"/>
      </w:pPr>
      <w:rPr>
        <w:rFonts w:ascii="华文隶书" w:eastAsia="华文隶书" w:hint="eastAsia"/>
        <w:b/>
        <w:color w:val="FF0000"/>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77AD0060"/>
    <w:multiLevelType w:val="multilevel"/>
    <w:tmpl w:val="77AD0060"/>
    <w:lvl w:ilvl="0">
      <w:start w:val="1"/>
      <w:numFmt w:val="bullet"/>
      <w:lvlText w:val=""/>
      <w:lvlJc w:val="left"/>
      <w:pPr>
        <w:ind w:left="420" w:hanging="420"/>
      </w:pPr>
      <w:rPr>
        <w:rFonts w:ascii="Wingdings" w:hAnsi="Wingdings" w:hint="default"/>
        <w:color w:val="00000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7C080CEA"/>
    <w:multiLevelType w:val="hybridMultilevel"/>
    <w:tmpl w:val="30F80AE6"/>
    <w:lvl w:ilvl="0" w:tplc="39A853BC">
      <w:start w:val="1"/>
      <w:numFmt w:val="bullet"/>
      <w:lvlText w:val=""/>
      <w:lvlJc w:val="left"/>
      <w:pPr>
        <w:ind w:left="900" w:hanging="420"/>
      </w:pPr>
      <w:rPr>
        <w:rFonts w:ascii="Wingdings" w:hAnsi="Wingdings" w:hint="default"/>
      </w:rPr>
    </w:lvl>
    <w:lvl w:ilvl="1" w:tplc="C6624BE4" w:tentative="1">
      <w:start w:val="1"/>
      <w:numFmt w:val="bullet"/>
      <w:lvlText w:val=""/>
      <w:lvlJc w:val="left"/>
      <w:pPr>
        <w:ind w:left="1320" w:hanging="420"/>
      </w:pPr>
      <w:rPr>
        <w:rFonts w:ascii="Wingdings" w:hAnsi="Wingdings" w:hint="default"/>
      </w:rPr>
    </w:lvl>
    <w:lvl w:ilvl="2" w:tplc="0409001B" w:tentative="1">
      <w:start w:val="1"/>
      <w:numFmt w:val="bullet"/>
      <w:lvlText w:val=""/>
      <w:lvlJc w:val="left"/>
      <w:pPr>
        <w:ind w:left="1740" w:hanging="420"/>
      </w:pPr>
      <w:rPr>
        <w:rFonts w:ascii="Wingdings" w:hAnsi="Wingdings" w:hint="default"/>
      </w:rPr>
    </w:lvl>
    <w:lvl w:ilvl="3" w:tplc="0409000F" w:tentative="1">
      <w:start w:val="1"/>
      <w:numFmt w:val="bullet"/>
      <w:lvlText w:val=""/>
      <w:lvlJc w:val="left"/>
      <w:pPr>
        <w:ind w:left="2160" w:hanging="420"/>
      </w:pPr>
      <w:rPr>
        <w:rFonts w:ascii="Wingdings" w:hAnsi="Wingdings" w:hint="default"/>
      </w:rPr>
    </w:lvl>
    <w:lvl w:ilvl="4" w:tplc="04090019" w:tentative="1">
      <w:start w:val="1"/>
      <w:numFmt w:val="bullet"/>
      <w:lvlText w:val=""/>
      <w:lvlJc w:val="left"/>
      <w:pPr>
        <w:ind w:left="2580" w:hanging="420"/>
      </w:pPr>
      <w:rPr>
        <w:rFonts w:ascii="Wingdings" w:hAnsi="Wingdings" w:hint="default"/>
      </w:rPr>
    </w:lvl>
    <w:lvl w:ilvl="5" w:tplc="0409001B" w:tentative="1">
      <w:start w:val="1"/>
      <w:numFmt w:val="bullet"/>
      <w:lvlText w:val=""/>
      <w:lvlJc w:val="left"/>
      <w:pPr>
        <w:ind w:left="3000" w:hanging="420"/>
      </w:pPr>
      <w:rPr>
        <w:rFonts w:ascii="Wingdings" w:hAnsi="Wingdings" w:hint="default"/>
      </w:rPr>
    </w:lvl>
    <w:lvl w:ilvl="6" w:tplc="0409000F" w:tentative="1">
      <w:start w:val="1"/>
      <w:numFmt w:val="bullet"/>
      <w:lvlText w:val=""/>
      <w:lvlJc w:val="left"/>
      <w:pPr>
        <w:ind w:left="3420" w:hanging="420"/>
      </w:pPr>
      <w:rPr>
        <w:rFonts w:ascii="Wingdings" w:hAnsi="Wingdings" w:hint="default"/>
      </w:rPr>
    </w:lvl>
    <w:lvl w:ilvl="7" w:tplc="04090019" w:tentative="1">
      <w:start w:val="1"/>
      <w:numFmt w:val="bullet"/>
      <w:lvlText w:val=""/>
      <w:lvlJc w:val="left"/>
      <w:pPr>
        <w:ind w:left="3840" w:hanging="420"/>
      </w:pPr>
      <w:rPr>
        <w:rFonts w:ascii="Wingdings" w:hAnsi="Wingdings" w:hint="default"/>
      </w:rPr>
    </w:lvl>
    <w:lvl w:ilvl="8" w:tplc="0409001B" w:tentative="1">
      <w:start w:val="1"/>
      <w:numFmt w:val="bullet"/>
      <w:lvlText w:val=""/>
      <w:lvlJc w:val="left"/>
      <w:pPr>
        <w:ind w:left="4260" w:hanging="420"/>
      </w:pPr>
      <w:rPr>
        <w:rFonts w:ascii="Wingdings" w:hAnsi="Wingdings" w:hint="default"/>
      </w:rPr>
    </w:lvl>
  </w:abstractNum>
  <w:abstractNum w:abstractNumId="33">
    <w:nsid w:val="7F1930DF"/>
    <w:multiLevelType w:val="multilevel"/>
    <w:tmpl w:val="7F1930DF"/>
    <w:lvl w:ilvl="0">
      <w:start w:val="1"/>
      <w:numFmt w:val="lowerLetter"/>
      <w:lvlText w:val="%1)"/>
      <w:lvlJc w:val="left"/>
      <w:pPr>
        <w:ind w:left="420" w:hanging="420"/>
      </w:pPr>
      <w:rPr>
        <w:rFonts w:ascii="华文隶书" w:eastAsia="华文隶书" w:hint="eastAsia"/>
        <w:b/>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7FFA6B71"/>
    <w:multiLevelType w:val="hybridMultilevel"/>
    <w:tmpl w:val="5164CD42"/>
    <w:lvl w:ilvl="0" w:tplc="D6760F06">
      <w:start w:val="1"/>
      <w:numFmt w:val="bullet"/>
      <w:lvlText w:val=""/>
      <w:lvlJc w:val="left"/>
      <w:pPr>
        <w:tabs>
          <w:tab w:val="num" w:pos="720"/>
        </w:tabs>
        <w:ind w:left="720" w:hanging="360"/>
      </w:pPr>
      <w:rPr>
        <w:rFonts w:ascii="Wingdings" w:hAnsi="Wingdings" w:hint="default"/>
      </w:rPr>
    </w:lvl>
    <w:lvl w:ilvl="1" w:tplc="96C20FBE" w:tentative="1">
      <w:start w:val="1"/>
      <w:numFmt w:val="bullet"/>
      <w:lvlText w:val=""/>
      <w:lvlJc w:val="left"/>
      <w:pPr>
        <w:tabs>
          <w:tab w:val="num" w:pos="1440"/>
        </w:tabs>
        <w:ind w:left="1440" w:hanging="360"/>
      </w:pPr>
      <w:rPr>
        <w:rFonts w:ascii="Wingdings" w:hAnsi="Wingdings" w:hint="default"/>
      </w:rPr>
    </w:lvl>
    <w:lvl w:ilvl="2" w:tplc="43D6DAEE" w:tentative="1">
      <w:start w:val="1"/>
      <w:numFmt w:val="bullet"/>
      <w:lvlText w:val=""/>
      <w:lvlJc w:val="left"/>
      <w:pPr>
        <w:tabs>
          <w:tab w:val="num" w:pos="2160"/>
        </w:tabs>
        <w:ind w:left="2160" w:hanging="360"/>
      </w:pPr>
      <w:rPr>
        <w:rFonts w:ascii="Wingdings" w:hAnsi="Wingdings" w:hint="default"/>
      </w:rPr>
    </w:lvl>
    <w:lvl w:ilvl="3" w:tplc="8CA4E7C6" w:tentative="1">
      <w:start w:val="1"/>
      <w:numFmt w:val="bullet"/>
      <w:lvlText w:val=""/>
      <w:lvlJc w:val="left"/>
      <w:pPr>
        <w:tabs>
          <w:tab w:val="num" w:pos="2880"/>
        </w:tabs>
        <w:ind w:left="2880" w:hanging="360"/>
      </w:pPr>
      <w:rPr>
        <w:rFonts w:ascii="Wingdings" w:hAnsi="Wingdings" w:hint="default"/>
      </w:rPr>
    </w:lvl>
    <w:lvl w:ilvl="4" w:tplc="3E128D4A" w:tentative="1">
      <w:start w:val="1"/>
      <w:numFmt w:val="bullet"/>
      <w:lvlText w:val=""/>
      <w:lvlJc w:val="left"/>
      <w:pPr>
        <w:tabs>
          <w:tab w:val="num" w:pos="3600"/>
        </w:tabs>
        <w:ind w:left="3600" w:hanging="360"/>
      </w:pPr>
      <w:rPr>
        <w:rFonts w:ascii="Wingdings" w:hAnsi="Wingdings" w:hint="default"/>
      </w:rPr>
    </w:lvl>
    <w:lvl w:ilvl="5" w:tplc="EF3EAD06" w:tentative="1">
      <w:start w:val="1"/>
      <w:numFmt w:val="bullet"/>
      <w:lvlText w:val=""/>
      <w:lvlJc w:val="left"/>
      <w:pPr>
        <w:tabs>
          <w:tab w:val="num" w:pos="4320"/>
        </w:tabs>
        <w:ind w:left="4320" w:hanging="360"/>
      </w:pPr>
      <w:rPr>
        <w:rFonts w:ascii="Wingdings" w:hAnsi="Wingdings" w:hint="default"/>
      </w:rPr>
    </w:lvl>
    <w:lvl w:ilvl="6" w:tplc="39B4F866" w:tentative="1">
      <w:start w:val="1"/>
      <w:numFmt w:val="bullet"/>
      <w:lvlText w:val=""/>
      <w:lvlJc w:val="left"/>
      <w:pPr>
        <w:tabs>
          <w:tab w:val="num" w:pos="5040"/>
        </w:tabs>
        <w:ind w:left="5040" w:hanging="360"/>
      </w:pPr>
      <w:rPr>
        <w:rFonts w:ascii="Wingdings" w:hAnsi="Wingdings" w:hint="default"/>
      </w:rPr>
    </w:lvl>
    <w:lvl w:ilvl="7" w:tplc="EF38ED9C" w:tentative="1">
      <w:start w:val="1"/>
      <w:numFmt w:val="bullet"/>
      <w:lvlText w:val=""/>
      <w:lvlJc w:val="left"/>
      <w:pPr>
        <w:tabs>
          <w:tab w:val="num" w:pos="5760"/>
        </w:tabs>
        <w:ind w:left="5760" w:hanging="360"/>
      </w:pPr>
      <w:rPr>
        <w:rFonts w:ascii="Wingdings" w:hAnsi="Wingdings" w:hint="default"/>
      </w:rPr>
    </w:lvl>
    <w:lvl w:ilvl="8" w:tplc="14545580"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8"/>
  </w:num>
  <w:num w:numId="3">
    <w:abstractNumId w:val="23"/>
  </w:num>
  <w:num w:numId="4">
    <w:abstractNumId w:val="24"/>
  </w:num>
  <w:num w:numId="5">
    <w:abstractNumId w:val="25"/>
  </w:num>
  <w:num w:numId="6">
    <w:abstractNumId w:val="26"/>
  </w:num>
  <w:num w:numId="7">
    <w:abstractNumId w:val="31"/>
  </w:num>
  <w:num w:numId="8">
    <w:abstractNumId w:val="3"/>
  </w:num>
  <w:num w:numId="9">
    <w:abstractNumId w:val="17"/>
  </w:num>
  <w:num w:numId="10">
    <w:abstractNumId w:val="16"/>
  </w:num>
  <w:num w:numId="11">
    <w:abstractNumId w:val="7"/>
  </w:num>
  <w:num w:numId="12">
    <w:abstractNumId w:val="5"/>
  </w:num>
  <w:num w:numId="13">
    <w:abstractNumId w:val="22"/>
  </w:num>
  <w:num w:numId="14">
    <w:abstractNumId w:val="19"/>
  </w:num>
  <w:num w:numId="15">
    <w:abstractNumId w:val="20"/>
  </w:num>
  <w:num w:numId="16">
    <w:abstractNumId w:val="29"/>
  </w:num>
  <w:num w:numId="17">
    <w:abstractNumId w:val="27"/>
  </w:num>
  <w:num w:numId="18">
    <w:abstractNumId w:val="30"/>
  </w:num>
  <w:num w:numId="19">
    <w:abstractNumId w:val="28"/>
  </w:num>
  <w:num w:numId="20">
    <w:abstractNumId w:val="8"/>
  </w:num>
  <w:num w:numId="21">
    <w:abstractNumId w:val="4"/>
  </w:num>
  <w:num w:numId="22">
    <w:abstractNumId w:val="12"/>
  </w:num>
  <w:num w:numId="23">
    <w:abstractNumId w:val="34"/>
  </w:num>
  <w:num w:numId="24">
    <w:abstractNumId w:val="2"/>
  </w:num>
  <w:num w:numId="25">
    <w:abstractNumId w:val="10"/>
  </w:num>
  <w:num w:numId="26">
    <w:abstractNumId w:val="15"/>
  </w:num>
  <w:num w:numId="27">
    <w:abstractNumId w:val="11"/>
  </w:num>
  <w:num w:numId="28">
    <w:abstractNumId w:val="32"/>
  </w:num>
  <w:num w:numId="29">
    <w:abstractNumId w:val="1"/>
  </w:num>
  <w:num w:numId="30">
    <w:abstractNumId w:val="21"/>
  </w:num>
  <w:num w:numId="31">
    <w:abstractNumId w:val="14"/>
  </w:num>
  <w:num w:numId="32">
    <w:abstractNumId w:val="6"/>
  </w:num>
  <w:num w:numId="33">
    <w:abstractNumId w:val="13"/>
  </w:num>
  <w:num w:numId="34">
    <w:abstractNumId w:val="9"/>
  </w:num>
  <w:num w:numId="3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4098"/>
    <o:shapelayout v:ext="edit">
      <o:idmap v:ext="edit" data="2"/>
    </o:shapelayout>
  </w:hdrShapeDefaults>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81206"/>
    <w:rsid w:val="00010356"/>
    <w:rsid w:val="000262D4"/>
    <w:rsid w:val="0004146C"/>
    <w:rsid w:val="00074935"/>
    <w:rsid w:val="0008524F"/>
    <w:rsid w:val="000975F4"/>
    <w:rsid w:val="000C3D42"/>
    <w:rsid w:val="000E43C5"/>
    <w:rsid w:val="0010558C"/>
    <w:rsid w:val="0011368B"/>
    <w:rsid w:val="00114442"/>
    <w:rsid w:val="001625DA"/>
    <w:rsid w:val="00181B99"/>
    <w:rsid w:val="001B4DE6"/>
    <w:rsid w:val="001C4669"/>
    <w:rsid w:val="001D179D"/>
    <w:rsid w:val="001D5389"/>
    <w:rsid w:val="001E7C84"/>
    <w:rsid w:val="001F4263"/>
    <w:rsid w:val="00222330"/>
    <w:rsid w:val="00224490"/>
    <w:rsid w:val="0024259E"/>
    <w:rsid w:val="00245705"/>
    <w:rsid w:val="00250D30"/>
    <w:rsid w:val="00252E57"/>
    <w:rsid w:val="00262403"/>
    <w:rsid w:val="00272685"/>
    <w:rsid w:val="00280991"/>
    <w:rsid w:val="002856EF"/>
    <w:rsid w:val="00292C67"/>
    <w:rsid w:val="002B58B2"/>
    <w:rsid w:val="002C480D"/>
    <w:rsid w:val="002C5CAB"/>
    <w:rsid w:val="002D67DD"/>
    <w:rsid w:val="002E72C5"/>
    <w:rsid w:val="002F300F"/>
    <w:rsid w:val="003014D9"/>
    <w:rsid w:val="0031076B"/>
    <w:rsid w:val="00342A18"/>
    <w:rsid w:val="00346932"/>
    <w:rsid w:val="003476DF"/>
    <w:rsid w:val="0035174B"/>
    <w:rsid w:val="0035552E"/>
    <w:rsid w:val="003711E7"/>
    <w:rsid w:val="00390F01"/>
    <w:rsid w:val="00392271"/>
    <w:rsid w:val="00395D92"/>
    <w:rsid w:val="003A7054"/>
    <w:rsid w:val="003C3B78"/>
    <w:rsid w:val="003F61FE"/>
    <w:rsid w:val="00420DAE"/>
    <w:rsid w:val="0042494E"/>
    <w:rsid w:val="00435227"/>
    <w:rsid w:val="00462698"/>
    <w:rsid w:val="004744E4"/>
    <w:rsid w:val="00481206"/>
    <w:rsid w:val="00484E2A"/>
    <w:rsid w:val="004A042F"/>
    <w:rsid w:val="004A0C9C"/>
    <w:rsid w:val="004A5CB8"/>
    <w:rsid w:val="004B2940"/>
    <w:rsid w:val="004E6B66"/>
    <w:rsid w:val="00511BE6"/>
    <w:rsid w:val="005318D5"/>
    <w:rsid w:val="005555CC"/>
    <w:rsid w:val="005562E7"/>
    <w:rsid w:val="00557D57"/>
    <w:rsid w:val="005650F4"/>
    <w:rsid w:val="00597CAA"/>
    <w:rsid w:val="005B1F6B"/>
    <w:rsid w:val="005D686B"/>
    <w:rsid w:val="005E7EE9"/>
    <w:rsid w:val="00603899"/>
    <w:rsid w:val="00615E48"/>
    <w:rsid w:val="00627BAC"/>
    <w:rsid w:val="006C02B6"/>
    <w:rsid w:val="006D68F6"/>
    <w:rsid w:val="007052EE"/>
    <w:rsid w:val="0071724D"/>
    <w:rsid w:val="0075754D"/>
    <w:rsid w:val="0077796C"/>
    <w:rsid w:val="00792242"/>
    <w:rsid w:val="007A5160"/>
    <w:rsid w:val="007B482F"/>
    <w:rsid w:val="007C08E7"/>
    <w:rsid w:val="007D3800"/>
    <w:rsid w:val="007F5FEF"/>
    <w:rsid w:val="00824E96"/>
    <w:rsid w:val="00833FA3"/>
    <w:rsid w:val="008712F2"/>
    <w:rsid w:val="008B06DC"/>
    <w:rsid w:val="0091202B"/>
    <w:rsid w:val="0091419C"/>
    <w:rsid w:val="00922FCC"/>
    <w:rsid w:val="00926719"/>
    <w:rsid w:val="00964020"/>
    <w:rsid w:val="00980839"/>
    <w:rsid w:val="009908F1"/>
    <w:rsid w:val="009A57E0"/>
    <w:rsid w:val="009E1DD5"/>
    <w:rsid w:val="009E1F26"/>
    <w:rsid w:val="009E5635"/>
    <w:rsid w:val="00A15440"/>
    <w:rsid w:val="00A23FA9"/>
    <w:rsid w:val="00A6128F"/>
    <w:rsid w:val="00A6141D"/>
    <w:rsid w:val="00A64DEB"/>
    <w:rsid w:val="00A92C44"/>
    <w:rsid w:val="00AC73A6"/>
    <w:rsid w:val="00AD0DF6"/>
    <w:rsid w:val="00AE3A70"/>
    <w:rsid w:val="00B16343"/>
    <w:rsid w:val="00B24BBC"/>
    <w:rsid w:val="00B40328"/>
    <w:rsid w:val="00B513A1"/>
    <w:rsid w:val="00B53D84"/>
    <w:rsid w:val="00B80E3E"/>
    <w:rsid w:val="00B86144"/>
    <w:rsid w:val="00BA1679"/>
    <w:rsid w:val="00BB1876"/>
    <w:rsid w:val="00BD5795"/>
    <w:rsid w:val="00BE1956"/>
    <w:rsid w:val="00BE75AD"/>
    <w:rsid w:val="00BF54C0"/>
    <w:rsid w:val="00BF7864"/>
    <w:rsid w:val="00C0712F"/>
    <w:rsid w:val="00C2115D"/>
    <w:rsid w:val="00C276E9"/>
    <w:rsid w:val="00C32C21"/>
    <w:rsid w:val="00C345A0"/>
    <w:rsid w:val="00C50F53"/>
    <w:rsid w:val="00CC5924"/>
    <w:rsid w:val="00CC7B6D"/>
    <w:rsid w:val="00CE60FA"/>
    <w:rsid w:val="00D0179A"/>
    <w:rsid w:val="00D26704"/>
    <w:rsid w:val="00D26EC8"/>
    <w:rsid w:val="00D34129"/>
    <w:rsid w:val="00D833D0"/>
    <w:rsid w:val="00D95E9F"/>
    <w:rsid w:val="00DA6FDF"/>
    <w:rsid w:val="00DB14C7"/>
    <w:rsid w:val="00DC6249"/>
    <w:rsid w:val="00DE20EF"/>
    <w:rsid w:val="00E118C8"/>
    <w:rsid w:val="00E34AE3"/>
    <w:rsid w:val="00E72FD0"/>
    <w:rsid w:val="00EC4F35"/>
    <w:rsid w:val="00ED3CB6"/>
    <w:rsid w:val="00EF2378"/>
    <w:rsid w:val="00EF31B4"/>
    <w:rsid w:val="00EF6E22"/>
    <w:rsid w:val="00F27221"/>
    <w:rsid w:val="00F559A3"/>
    <w:rsid w:val="00F61B38"/>
    <w:rsid w:val="00F63757"/>
    <w:rsid w:val="00F76F46"/>
    <w:rsid w:val="00F825C2"/>
    <w:rsid w:val="00F95BDF"/>
    <w:rsid w:val="00FA5ADE"/>
    <w:rsid w:val="00FC7F21"/>
    <w:rsid w:val="00FD4F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4D9"/>
    <w:pPr>
      <w:widowControl w:val="0"/>
      <w:jc w:val="both"/>
    </w:pPr>
  </w:style>
  <w:style w:type="paragraph" w:styleId="1">
    <w:name w:val="heading 1"/>
    <w:basedOn w:val="a"/>
    <w:next w:val="a"/>
    <w:link w:val="1Char"/>
    <w:qFormat/>
    <w:rsid w:val="00481206"/>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481206"/>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qFormat/>
    <w:rsid w:val="00481206"/>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481206"/>
    <w:rPr>
      <w:rFonts w:ascii="Times New Roman" w:eastAsia="宋体" w:hAnsi="Times New Roman" w:cs="Times New Roman"/>
      <w:b/>
      <w:bCs/>
      <w:kern w:val="44"/>
      <w:sz w:val="44"/>
      <w:szCs w:val="44"/>
    </w:rPr>
  </w:style>
  <w:style w:type="character" w:customStyle="1" w:styleId="2Char">
    <w:name w:val="标题 2 Char"/>
    <w:basedOn w:val="a0"/>
    <w:link w:val="2"/>
    <w:rsid w:val="00481206"/>
    <w:rPr>
      <w:rFonts w:ascii="Arial" w:eastAsia="黑体" w:hAnsi="Arial" w:cs="Times New Roman"/>
      <w:b/>
      <w:bCs/>
      <w:sz w:val="32"/>
      <w:szCs w:val="32"/>
    </w:rPr>
  </w:style>
  <w:style w:type="character" w:customStyle="1" w:styleId="3Char">
    <w:name w:val="标题 3 Char"/>
    <w:basedOn w:val="a0"/>
    <w:link w:val="3"/>
    <w:rsid w:val="00481206"/>
    <w:rPr>
      <w:rFonts w:ascii="Times New Roman" w:eastAsia="宋体" w:hAnsi="Times New Roman" w:cs="Times New Roman"/>
      <w:b/>
      <w:bCs/>
      <w:sz w:val="32"/>
      <w:szCs w:val="32"/>
    </w:rPr>
  </w:style>
  <w:style w:type="character" w:customStyle="1" w:styleId="lrg">
    <w:name w:val="lrg"/>
    <w:basedOn w:val="a0"/>
    <w:rsid w:val="00481206"/>
  </w:style>
  <w:style w:type="character" w:styleId="a3">
    <w:name w:val="annotation reference"/>
    <w:basedOn w:val="a0"/>
    <w:rsid w:val="00481206"/>
    <w:rPr>
      <w:sz w:val="21"/>
      <w:szCs w:val="21"/>
    </w:rPr>
  </w:style>
  <w:style w:type="character" w:styleId="a4">
    <w:name w:val="Strong"/>
    <w:basedOn w:val="a0"/>
    <w:qFormat/>
    <w:rsid w:val="00481206"/>
    <w:rPr>
      <w:b/>
      <w:bCs/>
    </w:rPr>
  </w:style>
  <w:style w:type="character" w:customStyle="1" w:styleId="Char">
    <w:name w:val="正文文本缩进 Char"/>
    <w:basedOn w:val="a0"/>
    <w:link w:val="a5"/>
    <w:rsid w:val="00481206"/>
    <w:rPr>
      <w:szCs w:val="24"/>
    </w:rPr>
  </w:style>
  <w:style w:type="character" w:styleId="a6">
    <w:name w:val="Hyperlink"/>
    <w:uiPriority w:val="99"/>
    <w:unhideWhenUsed/>
    <w:rsid w:val="00481206"/>
    <w:rPr>
      <w:color w:val="0000FF"/>
      <w:u w:val="single"/>
    </w:rPr>
  </w:style>
  <w:style w:type="character" w:customStyle="1" w:styleId="Char0">
    <w:name w:val="批注主题 Char"/>
    <w:basedOn w:val="Char1"/>
    <w:link w:val="a7"/>
    <w:rsid w:val="00481206"/>
    <w:rPr>
      <w:b/>
      <w:bCs/>
    </w:rPr>
  </w:style>
  <w:style w:type="character" w:customStyle="1" w:styleId="Char2">
    <w:name w:val="无间隔 Char"/>
    <w:basedOn w:val="a0"/>
    <w:link w:val="a8"/>
    <w:uiPriority w:val="1"/>
    <w:rsid w:val="00481206"/>
    <w:rPr>
      <w:rFonts w:ascii="Calibri" w:hAnsi="Calibri"/>
      <w:sz w:val="22"/>
    </w:rPr>
  </w:style>
  <w:style w:type="character" w:customStyle="1" w:styleId="Char3">
    <w:name w:val="文档结构图 Char"/>
    <w:basedOn w:val="a0"/>
    <w:link w:val="a9"/>
    <w:rsid w:val="00481206"/>
    <w:rPr>
      <w:shd w:val="clear" w:color="auto" w:fill="000080"/>
    </w:rPr>
  </w:style>
  <w:style w:type="character" w:styleId="aa">
    <w:name w:val="FollowedHyperlink"/>
    <w:basedOn w:val="a0"/>
    <w:rsid w:val="00481206"/>
    <w:rPr>
      <w:color w:val="800080"/>
      <w:u w:val="single"/>
    </w:rPr>
  </w:style>
  <w:style w:type="character" w:customStyle="1" w:styleId="Char4">
    <w:name w:val="页脚 Char"/>
    <w:basedOn w:val="a0"/>
    <w:link w:val="ab"/>
    <w:uiPriority w:val="99"/>
    <w:rsid w:val="00481206"/>
    <w:rPr>
      <w:sz w:val="18"/>
      <w:szCs w:val="18"/>
    </w:rPr>
  </w:style>
  <w:style w:type="character" w:customStyle="1" w:styleId="Char5">
    <w:name w:val="页眉 Char"/>
    <w:basedOn w:val="a0"/>
    <w:link w:val="ac"/>
    <w:uiPriority w:val="99"/>
    <w:rsid w:val="00481206"/>
    <w:rPr>
      <w:sz w:val="18"/>
      <w:szCs w:val="18"/>
    </w:rPr>
  </w:style>
  <w:style w:type="character" w:customStyle="1" w:styleId="Char1">
    <w:name w:val="批注文字 Char"/>
    <w:basedOn w:val="a0"/>
    <w:rsid w:val="00481206"/>
    <w:rPr>
      <w:kern w:val="2"/>
      <w:sz w:val="21"/>
    </w:rPr>
  </w:style>
  <w:style w:type="character" w:customStyle="1" w:styleId="Char6">
    <w:name w:val="脚注文本 Char"/>
    <w:link w:val="ad"/>
    <w:rsid w:val="00481206"/>
    <w:rPr>
      <w:sz w:val="18"/>
      <w:szCs w:val="18"/>
    </w:rPr>
  </w:style>
  <w:style w:type="character" w:customStyle="1" w:styleId="med">
    <w:name w:val="med"/>
    <w:basedOn w:val="a0"/>
    <w:rsid w:val="00481206"/>
  </w:style>
  <w:style w:type="character" w:customStyle="1" w:styleId="HTMLChar">
    <w:name w:val="HTML 预设格式 Char"/>
    <w:basedOn w:val="a0"/>
    <w:link w:val="HTML"/>
    <w:rsid w:val="00481206"/>
    <w:rPr>
      <w:rFonts w:ascii="Arial" w:hAnsi="Arial" w:cs="Arial"/>
      <w:sz w:val="24"/>
      <w:szCs w:val="24"/>
    </w:rPr>
  </w:style>
  <w:style w:type="character" w:customStyle="1" w:styleId="apple-converted-space">
    <w:name w:val="apple-converted-space"/>
    <w:basedOn w:val="a0"/>
    <w:rsid w:val="00481206"/>
  </w:style>
  <w:style w:type="character" w:styleId="ae">
    <w:name w:val="footnote reference"/>
    <w:rsid w:val="00481206"/>
    <w:rPr>
      <w:vertAlign w:val="superscript"/>
    </w:rPr>
  </w:style>
  <w:style w:type="paragraph" w:styleId="9">
    <w:name w:val="toc 9"/>
    <w:basedOn w:val="a"/>
    <w:next w:val="a"/>
    <w:uiPriority w:val="39"/>
    <w:rsid w:val="00481206"/>
    <w:pPr>
      <w:ind w:leftChars="1600" w:left="3360"/>
    </w:pPr>
    <w:rPr>
      <w:rFonts w:ascii="Times New Roman" w:eastAsia="宋体" w:hAnsi="Times New Roman" w:cs="Times New Roman"/>
      <w:szCs w:val="24"/>
    </w:rPr>
  </w:style>
  <w:style w:type="paragraph" w:styleId="6">
    <w:name w:val="toc 6"/>
    <w:basedOn w:val="a"/>
    <w:next w:val="a"/>
    <w:uiPriority w:val="39"/>
    <w:rsid w:val="00481206"/>
    <w:pPr>
      <w:ind w:leftChars="1000" w:left="2100"/>
    </w:pPr>
    <w:rPr>
      <w:rFonts w:ascii="Times New Roman" w:eastAsia="宋体" w:hAnsi="Times New Roman" w:cs="Times New Roman"/>
      <w:szCs w:val="24"/>
    </w:rPr>
  </w:style>
  <w:style w:type="paragraph" w:styleId="ad">
    <w:name w:val="footnote text"/>
    <w:basedOn w:val="a"/>
    <w:link w:val="Char6"/>
    <w:rsid w:val="00481206"/>
    <w:pPr>
      <w:snapToGrid w:val="0"/>
      <w:jc w:val="left"/>
    </w:pPr>
    <w:rPr>
      <w:sz w:val="18"/>
      <w:szCs w:val="18"/>
    </w:rPr>
  </w:style>
  <w:style w:type="character" w:customStyle="1" w:styleId="Char10">
    <w:name w:val="脚注文本 Char1"/>
    <w:basedOn w:val="a0"/>
    <w:link w:val="ad"/>
    <w:uiPriority w:val="99"/>
    <w:semiHidden/>
    <w:rsid w:val="00481206"/>
    <w:rPr>
      <w:sz w:val="18"/>
      <w:szCs w:val="18"/>
    </w:rPr>
  </w:style>
  <w:style w:type="paragraph" w:styleId="af">
    <w:name w:val="annotation text"/>
    <w:basedOn w:val="a"/>
    <w:link w:val="Char11"/>
    <w:unhideWhenUsed/>
    <w:rsid w:val="00481206"/>
    <w:pPr>
      <w:jc w:val="left"/>
    </w:pPr>
  </w:style>
  <w:style w:type="character" w:customStyle="1" w:styleId="Char11">
    <w:name w:val="批注文字 Char1"/>
    <w:basedOn w:val="a0"/>
    <w:link w:val="af"/>
    <w:uiPriority w:val="99"/>
    <w:semiHidden/>
    <w:rsid w:val="00481206"/>
  </w:style>
  <w:style w:type="paragraph" w:styleId="a7">
    <w:name w:val="annotation subject"/>
    <w:basedOn w:val="af"/>
    <w:next w:val="af"/>
    <w:link w:val="Char0"/>
    <w:rsid w:val="00481206"/>
    <w:rPr>
      <w:b/>
      <w:bCs/>
    </w:rPr>
  </w:style>
  <w:style w:type="character" w:customStyle="1" w:styleId="Char12">
    <w:name w:val="批注主题 Char1"/>
    <w:basedOn w:val="Char11"/>
    <w:link w:val="a7"/>
    <w:uiPriority w:val="99"/>
    <w:semiHidden/>
    <w:rsid w:val="00481206"/>
    <w:rPr>
      <w:b/>
      <w:bCs/>
    </w:rPr>
  </w:style>
  <w:style w:type="paragraph" w:styleId="a5">
    <w:name w:val="Body Text Indent"/>
    <w:basedOn w:val="a"/>
    <w:link w:val="Char"/>
    <w:rsid w:val="00481206"/>
    <w:pPr>
      <w:spacing w:after="120"/>
      <w:ind w:leftChars="200" w:left="420"/>
    </w:pPr>
    <w:rPr>
      <w:szCs w:val="24"/>
    </w:rPr>
  </w:style>
  <w:style w:type="character" w:customStyle="1" w:styleId="Char13">
    <w:name w:val="正文文本缩进 Char1"/>
    <w:basedOn w:val="a0"/>
    <w:link w:val="a5"/>
    <w:uiPriority w:val="99"/>
    <w:semiHidden/>
    <w:rsid w:val="00481206"/>
  </w:style>
  <w:style w:type="paragraph" w:styleId="af0">
    <w:name w:val="Normal (Web)"/>
    <w:basedOn w:val="a"/>
    <w:uiPriority w:val="99"/>
    <w:unhideWhenUsed/>
    <w:rsid w:val="00481206"/>
    <w:pPr>
      <w:widowControl/>
      <w:spacing w:before="100" w:beforeAutospacing="1" w:after="100" w:afterAutospacing="1"/>
      <w:jc w:val="left"/>
    </w:pPr>
    <w:rPr>
      <w:rFonts w:ascii="宋体" w:eastAsia="宋体" w:hAnsi="宋体" w:cs="宋体"/>
      <w:kern w:val="0"/>
      <w:sz w:val="24"/>
      <w:szCs w:val="24"/>
    </w:rPr>
  </w:style>
  <w:style w:type="paragraph" w:styleId="af1">
    <w:name w:val="Balloon Text"/>
    <w:basedOn w:val="a"/>
    <w:link w:val="Char7"/>
    <w:semiHidden/>
    <w:rsid w:val="00481206"/>
    <w:rPr>
      <w:rFonts w:ascii="Times New Roman" w:eastAsia="宋体" w:hAnsi="Times New Roman" w:cs="Times New Roman"/>
      <w:sz w:val="18"/>
      <w:szCs w:val="18"/>
    </w:rPr>
  </w:style>
  <w:style w:type="character" w:customStyle="1" w:styleId="Char7">
    <w:name w:val="批注框文本 Char"/>
    <w:basedOn w:val="a0"/>
    <w:link w:val="af1"/>
    <w:semiHidden/>
    <w:rsid w:val="00481206"/>
    <w:rPr>
      <w:rFonts w:ascii="Times New Roman" w:eastAsia="宋体" w:hAnsi="Times New Roman" w:cs="Times New Roman"/>
      <w:sz w:val="18"/>
      <w:szCs w:val="18"/>
    </w:rPr>
  </w:style>
  <w:style w:type="paragraph" w:styleId="a9">
    <w:name w:val="Document Map"/>
    <w:basedOn w:val="a"/>
    <w:link w:val="Char3"/>
    <w:rsid w:val="00481206"/>
    <w:pPr>
      <w:shd w:val="clear" w:color="auto" w:fill="000080"/>
    </w:pPr>
  </w:style>
  <w:style w:type="character" w:customStyle="1" w:styleId="Char14">
    <w:name w:val="文档结构图 Char1"/>
    <w:basedOn w:val="a0"/>
    <w:link w:val="a9"/>
    <w:uiPriority w:val="99"/>
    <w:semiHidden/>
    <w:rsid w:val="00481206"/>
    <w:rPr>
      <w:rFonts w:ascii="宋体" w:eastAsia="宋体"/>
      <w:sz w:val="18"/>
      <w:szCs w:val="18"/>
    </w:rPr>
  </w:style>
  <w:style w:type="paragraph" w:styleId="af2">
    <w:name w:val="List Paragraph"/>
    <w:basedOn w:val="a"/>
    <w:uiPriority w:val="34"/>
    <w:qFormat/>
    <w:rsid w:val="00481206"/>
    <w:pPr>
      <w:ind w:firstLineChars="200" w:firstLine="420"/>
    </w:pPr>
    <w:rPr>
      <w:rFonts w:ascii="Calibri" w:eastAsia="宋体" w:hAnsi="Calibri" w:cs="Times New Roman"/>
    </w:rPr>
  </w:style>
  <w:style w:type="paragraph" w:styleId="10">
    <w:name w:val="toc 1"/>
    <w:basedOn w:val="a"/>
    <w:next w:val="a"/>
    <w:uiPriority w:val="39"/>
    <w:qFormat/>
    <w:rsid w:val="00481206"/>
    <w:rPr>
      <w:rFonts w:ascii="Times New Roman" w:eastAsia="宋体" w:hAnsi="Times New Roman" w:cs="Times New Roman"/>
      <w:szCs w:val="24"/>
    </w:rPr>
  </w:style>
  <w:style w:type="paragraph" w:styleId="7">
    <w:name w:val="toc 7"/>
    <w:basedOn w:val="a"/>
    <w:next w:val="a"/>
    <w:uiPriority w:val="39"/>
    <w:rsid w:val="00481206"/>
    <w:pPr>
      <w:ind w:leftChars="1200" w:left="2520"/>
    </w:pPr>
    <w:rPr>
      <w:rFonts w:ascii="Times New Roman" w:eastAsia="宋体" w:hAnsi="Times New Roman" w:cs="Times New Roman"/>
      <w:szCs w:val="24"/>
    </w:rPr>
  </w:style>
  <w:style w:type="paragraph" w:styleId="HTML">
    <w:name w:val="HTML Preformatted"/>
    <w:basedOn w:val="a"/>
    <w:link w:val="HTMLChar"/>
    <w:rsid w:val="004812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sz w:val="24"/>
      <w:szCs w:val="24"/>
    </w:rPr>
  </w:style>
  <w:style w:type="character" w:customStyle="1" w:styleId="HTMLChar1">
    <w:name w:val="HTML 预设格式 Char1"/>
    <w:basedOn w:val="a0"/>
    <w:link w:val="HTML"/>
    <w:uiPriority w:val="99"/>
    <w:semiHidden/>
    <w:rsid w:val="00481206"/>
    <w:rPr>
      <w:rFonts w:ascii="Courier New" w:hAnsi="Courier New" w:cs="Courier New"/>
      <w:sz w:val="20"/>
      <w:szCs w:val="20"/>
    </w:rPr>
  </w:style>
  <w:style w:type="paragraph" w:styleId="20">
    <w:name w:val="toc 2"/>
    <w:basedOn w:val="a"/>
    <w:next w:val="a"/>
    <w:uiPriority w:val="39"/>
    <w:qFormat/>
    <w:rsid w:val="00481206"/>
    <w:pPr>
      <w:ind w:leftChars="200" w:left="420"/>
    </w:pPr>
    <w:rPr>
      <w:rFonts w:ascii="Times New Roman" w:eastAsia="宋体" w:hAnsi="Times New Roman" w:cs="Times New Roman"/>
      <w:szCs w:val="24"/>
    </w:rPr>
  </w:style>
  <w:style w:type="paragraph" w:styleId="ab">
    <w:name w:val="footer"/>
    <w:basedOn w:val="a"/>
    <w:link w:val="Char4"/>
    <w:uiPriority w:val="99"/>
    <w:rsid w:val="00481206"/>
    <w:pPr>
      <w:tabs>
        <w:tab w:val="center" w:pos="4153"/>
        <w:tab w:val="right" w:pos="8306"/>
      </w:tabs>
      <w:snapToGrid w:val="0"/>
      <w:jc w:val="left"/>
    </w:pPr>
    <w:rPr>
      <w:sz w:val="18"/>
      <w:szCs w:val="18"/>
    </w:rPr>
  </w:style>
  <w:style w:type="character" w:customStyle="1" w:styleId="Char15">
    <w:name w:val="页脚 Char1"/>
    <w:basedOn w:val="a0"/>
    <w:link w:val="ab"/>
    <w:uiPriority w:val="99"/>
    <w:semiHidden/>
    <w:rsid w:val="00481206"/>
    <w:rPr>
      <w:sz w:val="18"/>
      <w:szCs w:val="18"/>
    </w:rPr>
  </w:style>
  <w:style w:type="paragraph" w:styleId="ac">
    <w:name w:val="header"/>
    <w:basedOn w:val="a"/>
    <w:link w:val="Char5"/>
    <w:uiPriority w:val="99"/>
    <w:rsid w:val="00481206"/>
    <w:pPr>
      <w:pBdr>
        <w:bottom w:val="single" w:sz="6" w:space="1" w:color="auto"/>
      </w:pBdr>
      <w:tabs>
        <w:tab w:val="center" w:pos="4153"/>
        <w:tab w:val="right" w:pos="8306"/>
      </w:tabs>
      <w:snapToGrid w:val="0"/>
      <w:jc w:val="center"/>
    </w:pPr>
    <w:rPr>
      <w:sz w:val="18"/>
      <w:szCs w:val="18"/>
    </w:rPr>
  </w:style>
  <w:style w:type="character" w:customStyle="1" w:styleId="Char16">
    <w:name w:val="页眉 Char1"/>
    <w:basedOn w:val="a0"/>
    <w:link w:val="ac"/>
    <w:uiPriority w:val="99"/>
    <w:semiHidden/>
    <w:rsid w:val="00481206"/>
    <w:rPr>
      <w:sz w:val="18"/>
      <w:szCs w:val="18"/>
    </w:rPr>
  </w:style>
  <w:style w:type="paragraph" w:styleId="30">
    <w:name w:val="toc 3"/>
    <w:basedOn w:val="a"/>
    <w:next w:val="a"/>
    <w:uiPriority w:val="39"/>
    <w:qFormat/>
    <w:rsid w:val="00481206"/>
    <w:pPr>
      <w:ind w:leftChars="400" w:left="840"/>
    </w:pPr>
    <w:rPr>
      <w:rFonts w:ascii="Times New Roman" w:eastAsia="宋体" w:hAnsi="Times New Roman" w:cs="Times New Roman"/>
      <w:szCs w:val="24"/>
    </w:rPr>
  </w:style>
  <w:style w:type="paragraph" w:styleId="a8">
    <w:name w:val="No Spacing"/>
    <w:link w:val="Char2"/>
    <w:uiPriority w:val="1"/>
    <w:qFormat/>
    <w:rsid w:val="00481206"/>
    <w:rPr>
      <w:rFonts w:ascii="Calibri" w:hAnsi="Calibri"/>
      <w:sz w:val="22"/>
    </w:rPr>
  </w:style>
  <w:style w:type="paragraph" w:styleId="5">
    <w:name w:val="toc 5"/>
    <w:basedOn w:val="a"/>
    <w:next w:val="a"/>
    <w:uiPriority w:val="39"/>
    <w:rsid w:val="00481206"/>
    <w:pPr>
      <w:ind w:leftChars="800" w:left="1680"/>
    </w:pPr>
    <w:rPr>
      <w:rFonts w:ascii="Times New Roman" w:eastAsia="宋体" w:hAnsi="Times New Roman" w:cs="Times New Roman"/>
      <w:szCs w:val="24"/>
    </w:rPr>
  </w:style>
  <w:style w:type="paragraph" w:styleId="8">
    <w:name w:val="toc 8"/>
    <w:basedOn w:val="a"/>
    <w:next w:val="a"/>
    <w:uiPriority w:val="39"/>
    <w:rsid w:val="00481206"/>
    <w:pPr>
      <w:ind w:leftChars="1400" w:left="2940"/>
    </w:pPr>
    <w:rPr>
      <w:rFonts w:ascii="Times New Roman" w:eastAsia="宋体" w:hAnsi="Times New Roman" w:cs="Times New Roman"/>
      <w:szCs w:val="24"/>
    </w:rPr>
  </w:style>
  <w:style w:type="paragraph" w:styleId="TOC">
    <w:name w:val="TOC Heading"/>
    <w:basedOn w:val="1"/>
    <w:next w:val="a"/>
    <w:uiPriority w:val="39"/>
    <w:qFormat/>
    <w:rsid w:val="00481206"/>
    <w:pPr>
      <w:widowControl/>
      <w:spacing w:before="480" w:after="0" w:line="276" w:lineRule="auto"/>
      <w:jc w:val="left"/>
      <w:outlineLvl w:val="9"/>
    </w:pPr>
    <w:rPr>
      <w:rFonts w:ascii="Cambria" w:hAnsi="Cambria"/>
      <w:color w:val="365F91"/>
      <w:kern w:val="0"/>
      <w:sz w:val="28"/>
      <w:szCs w:val="28"/>
    </w:rPr>
  </w:style>
  <w:style w:type="paragraph" w:styleId="4">
    <w:name w:val="toc 4"/>
    <w:basedOn w:val="a"/>
    <w:next w:val="a"/>
    <w:uiPriority w:val="39"/>
    <w:rsid w:val="00481206"/>
    <w:pPr>
      <w:ind w:leftChars="600" w:left="1260"/>
    </w:pPr>
    <w:rPr>
      <w:rFonts w:ascii="Times New Roman" w:eastAsia="宋体" w:hAnsi="Times New Roman" w:cs="Times New Roman"/>
      <w:szCs w:val="24"/>
    </w:rPr>
  </w:style>
  <w:style w:type="table" w:styleId="af3">
    <w:name w:val="Table Grid"/>
    <w:basedOn w:val="a1"/>
    <w:rsid w:val="00481206"/>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ize-large">
    <w:name w:val="a-size-large"/>
    <w:basedOn w:val="a0"/>
    <w:rsid w:val="00481206"/>
  </w:style>
  <w:style w:type="character" w:customStyle="1" w:styleId="a-size-mediuma-color-secondarya-text-normal">
    <w:name w:val="a-size-medium a-color-secondary a-text-normal"/>
    <w:basedOn w:val="a0"/>
    <w:rsid w:val="00481206"/>
  </w:style>
  <w:style w:type="character" w:customStyle="1" w:styleId="todaynews14pxtitle1">
    <w:name w:val="todaynews_14pxtitle1"/>
    <w:basedOn w:val="a0"/>
    <w:rsid w:val="00481206"/>
    <w:rPr>
      <w:strike w:val="0"/>
      <w:dstrike w:val="0"/>
      <w:color w:val="494848"/>
      <w:sz w:val="21"/>
      <w:szCs w:val="21"/>
      <w:u w:val="none"/>
      <w:effect w:val="non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aike.baidu.com/view/1344052.htm" TargetMode="External"/><Relationship Id="rId299" Type="http://schemas.openxmlformats.org/officeDocument/2006/relationships/image" Target="media/image115.wmf"/><Relationship Id="rId671" Type="http://schemas.openxmlformats.org/officeDocument/2006/relationships/image" Target="media/image270.wmf"/><Relationship Id="rId727" Type="http://schemas.openxmlformats.org/officeDocument/2006/relationships/image" Target="media/image298.wmf"/><Relationship Id="rId21" Type="http://schemas.openxmlformats.org/officeDocument/2006/relationships/hyperlink" Target="http://jingzhi.funds.hexun.com/510650.shtml" TargetMode="External"/><Relationship Id="rId63" Type="http://schemas.openxmlformats.org/officeDocument/2006/relationships/image" Target="media/image14.wmf"/><Relationship Id="rId159" Type="http://schemas.openxmlformats.org/officeDocument/2006/relationships/oleObject" Target="embeddings/oleObject53.bin"/><Relationship Id="rId324" Type="http://schemas.openxmlformats.org/officeDocument/2006/relationships/oleObject" Target="embeddings/oleObject143.bin"/><Relationship Id="rId366" Type="http://schemas.openxmlformats.org/officeDocument/2006/relationships/image" Target="media/image146.wmf"/><Relationship Id="rId531" Type="http://schemas.openxmlformats.org/officeDocument/2006/relationships/oleObject" Target="embeddings/oleObject265.bin"/><Relationship Id="rId573" Type="http://schemas.openxmlformats.org/officeDocument/2006/relationships/image" Target="media/image230.wmf"/><Relationship Id="rId629" Type="http://schemas.openxmlformats.org/officeDocument/2006/relationships/oleObject" Target="embeddings/oleObject320.bin"/><Relationship Id="rId170" Type="http://schemas.openxmlformats.org/officeDocument/2006/relationships/oleObject" Target="embeddings/oleObject59.bin"/><Relationship Id="rId226" Type="http://schemas.openxmlformats.org/officeDocument/2006/relationships/image" Target="media/image82.wmf"/><Relationship Id="rId433" Type="http://schemas.openxmlformats.org/officeDocument/2006/relationships/image" Target="media/image169.wmf"/><Relationship Id="rId268" Type="http://schemas.openxmlformats.org/officeDocument/2006/relationships/oleObject" Target="embeddings/oleObject114.bin"/><Relationship Id="rId475" Type="http://schemas.openxmlformats.org/officeDocument/2006/relationships/image" Target="media/image188.wmf"/><Relationship Id="rId640" Type="http://schemas.openxmlformats.org/officeDocument/2006/relationships/oleObject" Target="embeddings/oleObject326.bin"/><Relationship Id="rId682" Type="http://schemas.openxmlformats.org/officeDocument/2006/relationships/oleObject" Target="embeddings/oleObject352.bin"/><Relationship Id="rId738" Type="http://schemas.openxmlformats.org/officeDocument/2006/relationships/oleObject" Target="embeddings/oleObject380.bin"/><Relationship Id="rId32" Type="http://schemas.openxmlformats.org/officeDocument/2006/relationships/hyperlink" Target="http://baike.baidu.com/view/272511.htm" TargetMode="External"/><Relationship Id="rId74" Type="http://schemas.openxmlformats.org/officeDocument/2006/relationships/oleObject" Target="embeddings/oleObject19.bin"/><Relationship Id="rId128" Type="http://schemas.openxmlformats.org/officeDocument/2006/relationships/image" Target="media/image37.wmf"/><Relationship Id="rId335" Type="http://schemas.openxmlformats.org/officeDocument/2006/relationships/oleObject" Target="embeddings/oleObject149.bin"/><Relationship Id="rId377" Type="http://schemas.openxmlformats.org/officeDocument/2006/relationships/oleObject" Target="embeddings/oleObject172.bin"/><Relationship Id="rId500" Type="http://schemas.openxmlformats.org/officeDocument/2006/relationships/oleObject" Target="embeddings/oleObject245.bin"/><Relationship Id="rId542" Type="http://schemas.openxmlformats.org/officeDocument/2006/relationships/oleObject" Target="embeddings/oleObject272.bin"/><Relationship Id="rId584" Type="http://schemas.openxmlformats.org/officeDocument/2006/relationships/oleObject" Target="embeddings/oleObject294.bin"/><Relationship Id="rId5" Type="http://schemas.openxmlformats.org/officeDocument/2006/relationships/webSettings" Target="webSettings.xml"/><Relationship Id="rId181" Type="http://schemas.openxmlformats.org/officeDocument/2006/relationships/oleObject" Target="embeddings/oleObject65.bin"/><Relationship Id="rId237" Type="http://schemas.openxmlformats.org/officeDocument/2006/relationships/image" Target="media/image87.wmf"/><Relationship Id="rId402" Type="http://schemas.openxmlformats.org/officeDocument/2006/relationships/image" Target="media/image157.wmf"/><Relationship Id="rId279" Type="http://schemas.openxmlformats.org/officeDocument/2006/relationships/image" Target="media/image105.wmf"/><Relationship Id="rId444" Type="http://schemas.openxmlformats.org/officeDocument/2006/relationships/image" Target="media/image174.wmf"/><Relationship Id="rId486" Type="http://schemas.openxmlformats.org/officeDocument/2006/relationships/oleObject" Target="embeddings/oleObject238.bin"/><Relationship Id="rId651" Type="http://schemas.openxmlformats.org/officeDocument/2006/relationships/image" Target="media/image263.wmf"/><Relationship Id="rId693" Type="http://schemas.openxmlformats.org/officeDocument/2006/relationships/image" Target="media/image281.wmf"/><Relationship Id="rId707" Type="http://schemas.openxmlformats.org/officeDocument/2006/relationships/image" Target="media/image288.wmf"/><Relationship Id="rId749" Type="http://schemas.openxmlformats.org/officeDocument/2006/relationships/hyperlink" Target="http://bbs.pinggu.org/" TargetMode="External"/><Relationship Id="rId43" Type="http://schemas.openxmlformats.org/officeDocument/2006/relationships/image" Target="media/image5.wmf"/><Relationship Id="rId139" Type="http://schemas.openxmlformats.org/officeDocument/2006/relationships/oleObject" Target="embeddings/oleObject42.bin"/><Relationship Id="rId290" Type="http://schemas.openxmlformats.org/officeDocument/2006/relationships/oleObject" Target="embeddings/oleObject125.bin"/><Relationship Id="rId304" Type="http://schemas.openxmlformats.org/officeDocument/2006/relationships/oleObject" Target="embeddings/oleObject132.bin"/><Relationship Id="rId346" Type="http://schemas.openxmlformats.org/officeDocument/2006/relationships/image" Target="media/image136.wmf"/><Relationship Id="rId388" Type="http://schemas.openxmlformats.org/officeDocument/2006/relationships/oleObject" Target="embeddings/oleObject180.bin"/><Relationship Id="rId511" Type="http://schemas.openxmlformats.org/officeDocument/2006/relationships/image" Target="media/image206.wmf"/><Relationship Id="rId553" Type="http://schemas.openxmlformats.org/officeDocument/2006/relationships/image" Target="media/image221.wmf"/><Relationship Id="rId609" Type="http://schemas.openxmlformats.org/officeDocument/2006/relationships/image" Target="media/image246.wmf"/><Relationship Id="rId760" Type="http://schemas.openxmlformats.org/officeDocument/2006/relationships/fontTable" Target="fontTable.xml"/><Relationship Id="rId85" Type="http://schemas.openxmlformats.org/officeDocument/2006/relationships/image" Target="media/image25.wmf"/><Relationship Id="rId150" Type="http://schemas.openxmlformats.org/officeDocument/2006/relationships/oleObject" Target="embeddings/oleObject48.bin"/><Relationship Id="rId192" Type="http://schemas.openxmlformats.org/officeDocument/2006/relationships/image" Target="media/image67.wmf"/><Relationship Id="rId206" Type="http://schemas.openxmlformats.org/officeDocument/2006/relationships/image" Target="media/image73.wmf"/><Relationship Id="rId413" Type="http://schemas.openxmlformats.org/officeDocument/2006/relationships/oleObject" Target="embeddings/oleObject198.bin"/><Relationship Id="rId595" Type="http://schemas.openxmlformats.org/officeDocument/2006/relationships/oleObject" Target="embeddings/oleObject300.bin"/><Relationship Id="rId248" Type="http://schemas.openxmlformats.org/officeDocument/2006/relationships/image" Target="media/image90.wmf"/><Relationship Id="rId455" Type="http://schemas.openxmlformats.org/officeDocument/2006/relationships/image" Target="media/image178.wmf"/><Relationship Id="rId497" Type="http://schemas.openxmlformats.org/officeDocument/2006/relationships/image" Target="media/image199.wmf"/><Relationship Id="rId620" Type="http://schemas.openxmlformats.org/officeDocument/2006/relationships/oleObject" Target="embeddings/oleObject315.bin"/><Relationship Id="rId662" Type="http://schemas.openxmlformats.org/officeDocument/2006/relationships/oleObject" Target="embeddings/oleObject341.bin"/><Relationship Id="rId718" Type="http://schemas.openxmlformats.org/officeDocument/2006/relationships/oleObject" Target="embeddings/oleObject370.bin"/><Relationship Id="rId12" Type="http://schemas.openxmlformats.org/officeDocument/2006/relationships/hyperlink" Target="http://baike.baidu.com/view/2203700.htm" TargetMode="External"/><Relationship Id="rId108" Type="http://schemas.openxmlformats.org/officeDocument/2006/relationships/hyperlink" Target="http://baike.baidu.com/view/61891.htm" TargetMode="External"/><Relationship Id="rId315" Type="http://schemas.openxmlformats.org/officeDocument/2006/relationships/oleObject" Target="embeddings/oleObject138.bin"/><Relationship Id="rId357" Type="http://schemas.openxmlformats.org/officeDocument/2006/relationships/oleObject" Target="embeddings/oleObject161.bin"/><Relationship Id="rId522" Type="http://schemas.openxmlformats.org/officeDocument/2006/relationships/oleObject" Target="embeddings/oleObject258.bin"/><Relationship Id="rId54" Type="http://schemas.openxmlformats.org/officeDocument/2006/relationships/image" Target="media/image10.wmf"/><Relationship Id="rId96" Type="http://schemas.openxmlformats.org/officeDocument/2006/relationships/oleObject" Target="embeddings/oleObject30.bin"/><Relationship Id="rId161" Type="http://schemas.openxmlformats.org/officeDocument/2006/relationships/oleObject" Target="embeddings/oleObject54.bin"/><Relationship Id="rId217" Type="http://schemas.openxmlformats.org/officeDocument/2006/relationships/image" Target="media/image78.wmf"/><Relationship Id="rId399" Type="http://schemas.openxmlformats.org/officeDocument/2006/relationships/image" Target="media/image156.wmf"/><Relationship Id="rId564" Type="http://schemas.openxmlformats.org/officeDocument/2006/relationships/oleObject" Target="embeddings/oleObject284.bin"/><Relationship Id="rId259" Type="http://schemas.openxmlformats.org/officeDocument/2006/relationships/image" Target="media/image95.wmf"/><Relationship Id="rId424" Type="http://schemas.openxmlformats.org/officeDocument/2006/relationships/image" Target="media/image165.wmf"/><Relationship Id="rId466" Type="http://schemas.openxmlformats.org/officeDocument/2006/relationships/oleObject" Target="embeddings/oleObject228.bin"/><Relationship Id="rId631" Type="http://schemas.openxmlformats.org/officeDocument/2006/relationships/oleObject" Target="embeddings/oleObject321.bin"/><Relationship Id="rId673" Type="http://schemas.openxmlformats.org/officeDocument/2006/relationships/image" Target="media/image271.wmf"/><Relationship Id="rId729" Type="http://schemas.openxmlformats.org/officeDocument/2006/relationships/image" Target="media/image299.wmf"/><Relationship Id="rId23" Type="http://schemas.openxmlformats.org/officeDocument/2006/relationships/hyperlink" Target="http://futures.hexun.com/gold/" TargetMode="External"/><Relationship Id="rId119" Type="http://schemas.openxmlformats.org/officeDocument/2006/relationships/hyperlink" Target="http://baike.baidu.com/view/2085.htm" TargetMode="External"/><Relationship Id="rId270" Type="http://schemas.openxmlformats.org/officeDocument/2006/relationships/oleObject" Target="embeddings/oleObject115.bin"/><Relationship Id="rId326" Type="http://schemas.openxmlformats.org/officeDocument/2006/relationships/oleObject" Target="embeddings/oleObject144.bin"/><Relationship Id="rId533" Type="http://schemas.openxmlformats.org/officeDocument/2006/relationships/oleObject" Target="embeddings/oleObject267.bin"/><Relationship Id="rId65" Type="http://schemas.openxmlformats.org/officeDocument/2006/relationships/image" Target="media/image15.wmf"/><Relationship Id="rId130" Type="http://schemas.openxmlformats.org/officeDocument/2006/relationships/image" Target="media/image38.wmf"/><Relationship Id="rId368" Type="http://schemas.openxmlformats.org/officeDocument/2006/relationships/image" Target="media/image147.wmf"/><Relationship Id="rId575" Type="http://schemas.openxmlformats.org/officeDocument/2006/relationships/image" Target="media/image231.wmf"/><Relationship Id="rId740" Type="http://schemas.openxmlformats.org/officeDocument/2006/relationships/oleObject" Target="embeddings/oleObject381.bin"/><Relationship Id="rId172" Type="http://schemas.openxmlformats.org/officeDocument/2006/relationships/oleObject" Target="embeddings/oleObject60.bin"/><Relationship Id="rId228" Type="http://schemas.openxmlformats.org/officeDocument/2006/relationships/image" Target="media/image83.wmf"/><Relationship Id="rId435" Type="http://schemas.openxmlformats.org/officeDocument/2006/relationships/oleObject" Target="embeddings/oleObject211.bin"/><Relationship Id="rId477" Type="http://schemas.openxmlformats.org/officeDocument/2006/relationships/image" Target="media/image189.wmf"/><Relationship Id="rId600" Type="http://schemas.openxmlformats.org/officeDocument/2006/relationships/oleObject" Target="embeddings/oleObject303.bin"/><Relationship Id="rId642" Type="http://schemas.openxmlformats.org/officeDocument/2006/relationships/oleObject" Target="embeddings/oleObject328.bin"/><Relationship Id="rId684" Type="http://schemas.openxmlformats.org/officeDocument/2006/relationships/oleObject" Target="embeddings/oleObject353.bin"/><Relationship Id="rId281" Type="http://schemas.openxmlformats.org/officeDocument/2006/relationships/image" Target="media/image106.wmf"/><Relationship Id="rId337" Type="http://schemas.openxmlformats.org/officeDocument/2006/relationships/oleObject" Target="embeddings/oleObject151.bin"/><Relationship Id="rId502" Type="http://schemas.openxmlformats.org/officeDocument/2006/relationships/oleObject" Target="embeddings/oleObject246.bin"/><Relationship Id="rId34" Type="http://schemas.openxmlformats.org/officeDocument/2006/relationships/hyperlink" Target="http://baike.baidu.com/view/25549.htm" TargetMode="External"/><Relationship Id="rId76" Type="http://schemas.openxmlformats.org/officeDocument/2006/relationships/oleObject" Target="embeddings/oleObject20.bin"/><Relationship Id="rId141" Type="http://schemas.openxmlformats.org/officeDocument/2006/relationships/oleObject" Target="embeddings/oleObject43.bin"/><Relationship Id="rId379" Type="http://schemas.openxmlformats.org/officeDocument/2006/relationships/oleObject" Target="embeddings/oleObject174.bin"/><Relationship Id="rId544" Type="http://schemas.openxmlformats.org/officeDocument/2006/relationships/oleObject" Target="embeddings/oleObject273.bin"/><Relationship Id="rId586" Type="http://schemas.openxmlformats.org/officeDocument/2006/relationships/oleObject" Target="embeddings/oleObject295.bin"/><Relationship Id="rId751" Type="http://schemas.openxmlformats.org/officeDocument/2006/relationships/hyperlink" Target="http://www.cenet.org.cn/cn/" TargetMode="External"/><Relationship Id="rId7" Type="http://schemas.openxmlformats.org/officeDocument/2006/relationships/endnotes" Target="endnotes.xml"/><Relationship Id="rId183" Type="http://schemas.openxmlformats.org/officeDocument/2006/relationships/oleObject" Target="embeddings/oleObject66.bin"/><Relationship Id="rId239" Type="http://schemas.openxmlformats.org/officeDocument/2006/relationships/image" Target="media/image88.wmf"/><Relationship Id="rId390" Type="http://schemas.openxmlformats.org/officeDocument/2006/relationships/oleObject" Target="embeddings/oleObject181.bin"/><Relationship Id="rId404" Type="http://schemas.openxmlformats.org/officeDocument/2006/relationships/image" Target="media/image158.wmf"/><Relationship Id="rId446" Type="http://schemas.openxmlformats.org/officeDocument/2006/relationships/oleObject" Target="embeddings/oleObject217.bin"/><Relationship Id="rId611" Type="http://schemas.openxmlformats.org/officeDocument/2006/relationships/image" Target="media/image247.wmf"/><Relationship Id="rId653" Type="http://schemas.openxmlformats.org/officeDocument/2006/relationships/oleObject" Target="embeddings/oleObject335.bin"/><Relationship Id="rId250" Type="http://schemas.openxmlformats.org/officeDocument/2006/relationships/image" Target="media/image91.wmf"/><Relationship Id="rId292" Type="http://schemas.openxmlformats.org/officeDocument/2006/relationships/oleObject" Target="embeddings/oleObject126.bin"/><Relationship Id="rId306" Type="http://schemas.openxmlformats.org/officeDocument/2006/relationships/oleObject" Target="embeddings/oleObject133.bin"/><Relationship Id="rId488" Type="http://schemas.openxmlformats.org/officeDocument/2006/relationships/oleObject" Target="embeddings/oleObject239.bin"/><Relationship Id="rId695" Type="http://schemas.openxmlformats.org/officeDocument/2006/relationships/image" Target="media/image282.wmf"/><Relationship Id="rId709" Type="http://schemas.openxmlformats.org/officeDocument/2006/relationships/image" Target="media/image289.wmf"/><Relationship Id="rId45" Type="http://schemas.openxmlformats.org/officeDocument/2006/relationships/image" Target="media/image6.wmf"/><Relationship Id="rId87" Type="http://schemas.openxmlformats.org/officeDocument/2006/relationships/image" Target="media/image26.wmf"/><Relationship Id="rId110" Type="http://schemas.openxmlformats.org/officeDocument/2006/relationships/hyperlink" Target="http://baike.baidu.com/view/3751323.htm" TargetMode="External"/><Relationship Id="rId348" Type="http://schemas.openxmlformats.org/officeDocument/2006/relationships/image" Target="media/image137.wmf"/><Relationship Id="rId513" Type="http://schemas.openxmlformats.org/officeDocument/2006/relationships/oleObject" Target="embeddings/oleObject252.bin"/><Relationship Id="rId555" Type="http://schemas.openxmlformats.org/officeDocument/2006/relationships/image" Target="media/image222.wmf"/><Relationship Id="rId597" Type="http://schemas.openxmlformats.org/officeDocument/2006/relationships/oleObject" Target="embeddings/oleObject301.bin"/><Relationship Id="rId720" Type="http://schemas.openxmlformats.org/officeDocument/2006/relationships/oleObject" Target="embeddings/oleObject371.bin"/><Relationship Id="rId152" Type="http://schemas.openxmlformats.org/officeDocument/2006/relationships/oleObject" Target="embeddings/oleObject49.bin"/><Relationship Id="rId194" Type="http://schemas.openxmlformats.org/officeDocument/2006/relationships/image" Target="media/image68.wmf"/><Relationship Id="rId208" Type="http://schemas.openxmlformats.org/officeDocument/2006/relationships/image" Target="media/image74.wmf"/><Relationship Id="rId415" Type="http://schemas.openxmlformats.org/officeDocument/2006/relationships/image" Target="media/image161.wmf"/><Relationship Id="rId457" Type="http://schemas.openxmlformats.org/officeDocument/2006/relationships/image" Target="media/image179.wmf"/><Relationship Id="rId622" Type="http://schemas.openxmlformats.org/officeDocument/2006/relationships/oleObject" Target="embeddings/oleObject316.bin"/><Relationship Id="rId261" Type="http://schemas.openxmlformats.org/officeDocument/2006/relationships/image" Target="media/image96.wmf"/><Relationship Id="rId499" Type="http://schemas.openxmlformats.org/officeDocument/2006/relationships/image" Target="media/image200.wmf"/><Relationship Id="rId664" Type="http://schemas.openxmlformats.org/officeDocument/2006/relationships/oleObject" Target="embeddings/oleObject342.bin"/><Relationship Id="rId14" Type="http://schemas.openxmlformats.org/officeDocument/2006/relationships/hyperlink" Target="http://renwu.hexun.com/figure_590.shtml" TargetMode="External"/><Relationship Id="rId56" Type="http://schemas.openxmlformats.org/officeDocument/2006/relationships/image" Target="media/image11.wmf"/><Relationship Id="rId317" Type="http://schemas.openxmlformats.org/officeDocument/2006/relationships/image" Target="media/image123.wmf"/><Relationship Id="rId359" Type="http://schemas.openxmlformats.org/officeDocument/2006/relationships/oleObject" Target="embeddings/oleObject162.bin"/><Relationship Id="rId524" Type="http://schemas.openxmlformats.org/officeDocument/2006/relationships/oleObject" Target="embeddings/oleObject259.bin"/><Relationship Id="rId566" Type="http://schemas.openxmlformats.org/officeDocument/2006/relationships/oleObject" Target="embeddings/oleObject285.bin"/><Relationship Id="rId731" Type="http://schemas.openxmlformats.org/officeDocument/2006/relationships/image" Target="media/image300.wmf"/><Relationship Id="rId98" Type="http://schemas.openxmlformats.org/officeDocument/2006/relationships/oleObject" Target="embeddings/oleObject31.bin"/><Relationship Id="rId121" Type="http://schemas.openxmlformats.org/officeDocument/2006/relationships/hyperlink" Target="http://baike.baidu.com/view/10566.htm" TargetMode="External"/><Relationship Id="rId163" Type="http://schemas.openxmlformats.org/officeDocument/2006/relationships/oleObject" Target="embeddings/oleObject55.bin"/><Relationship Id="rId219" Type="http://schemas.openxmlformats.org/officeDocument/2006/relationships/image" Target="media/image79.wmf"/><Relationship Id="rId370" Type="http://schemas.openxmlformats.org/officeDocument/2006/relationships/oleObject" Target="embeddings/oleObject168.bin"/><Relationship Id="rId426" Type="http://schemas.openxmlformats.org/officeDocument/2006/relationships/image" Target="media/image166.wmf"/><Relationship Id="rId633" Type="http://schemas.openxmlformats.org/officeDocument/2006/relationships/oleObject" Target="embeddings/oleObject322.bin"/><Relationship Id="rId230" Type="http://schemas.openxmlformats.org/officeDocument/2006/relationships/image" Target="media/image84.wmf"/><Relationship Id="rId468" Type="http://schemas.openxmlformats.org/officeDocument/2006/relationships/oleObject" Target="embeddings/oleObject229.bin"/><Relationship Id="rId675" Type="http://schemas.openxmlformats.org/officeDocument/2006/relationships/image" Target="media/image272.wmf"/><Relationship Id="rId25" Type="http://schemas.openxmlformats.org/officeDocument/2006/relationships/hyperlink" Target="http://futures.hexun.com/oil/index.html" TargetMode="External"/><Relationship Id="rId67" Type="http://schemas.openxmlformats.org/officeDocument/2006/relationships/image" Target="media/image16.wmf"/><Relationship Id="rId272" Type="http://schemas.openxmlformats.org/officeDocument/2006/relationships/oleObject" Target="embeddings/oleObject116.bin"/><Relationship Id="rId328" Type="http://schemas.openxmlformats.org/officeDocument/2006/relationships/oleObject" Target="embeddings/oleObject145.bin"/><Relationship Id="rId535" Type="http://schemas.openxmlformats.org/officeDocument/2006/relationships/image" Target="media/image212.wmf"/><Relationship Id="rId577" Type="http://schemas.openxmlformats.org/officeDocument/2006/relationships/image" Target="media/image232.wmf"/><Relationship Id="rId700" Type="http://schemas.openxmlformats.org/officeDocument/2006/relationships/oleObject" Target="embeddings/oleObject361.bin"/><Relationship Id="rId742" Type="http://schemas.openxmlformats.org/officeDocument/2006/relationships/oleObject" Target="embeddings/oleObject382.bin"/><Relationship Id="rId132" Type="http://schemas.openxmlformats.org/officeDocument/2006/relationships/image" Target="media/image39.wmf"/><Relationship Id="rId174" Type="http://schemas.openxmlformats.org/officeDocument/2006/relationships/oleObject" Target="embeddings/oleObject61.bin"/><Relationship Id="rId381" Type="http://schemas.openxmlformats.org/officeDocument/2006/relationships/oleObject" Target="embeddings/oleObject175.bin"/><Relationship Id="rId602" Type="http://schemas.openxmlformats.org/officeDocument/2006/relationships/oleObject" Target="embeddings/oleObject304.bin"/><Relationship Id="rId241" Type="http://schemas.openxmlformats.org/officeDocument/2006/relationships/image" Target="media/image89.wmf"/><Relationship Id="rId437" Type="http://schemas.openxmlformats.org/officeDocument/2006/relationships/oleObject" Target="embeddings/oleObject212.bin"/><Relationship Id="rId479" Type="http://schemas.openxmlformats.org/officeDocument/2006/relationships/image" Target="media/image190.wmf"/><Relationship Id="rId644" Type="http://schemas.openxmlformats.org/officeDocument/2006/relationships/oleObject" Target="embeddings/oleObject330.bin"/><Relationship Id="rId686" Type="http://schemas.openxmlformats.org/officeDocument/2006/relationships/oleObject" Target="embeddings/oleObject354.bin"/><Relationship Id="rId36" Type="http://schemas.openxmlformats.org/officeDocument/2006/relationships/hyperlink" Target="http://baike.baidu.com/view/3647.htm" TargetMode="External"/><Relationship Id="rId283" Type="http://schemas.openxmlformats.org/officeDocument/2006/relationships/image" Target="media/image107.wmf"/><Relationship Id="rId339" Type="http://schemas.openxmlformats.org/officeDocument/2006/relationships/oleObject" Target="embeddings/oleObject152.bin"/><Relationship Id="rId490" Type="http://schemas.openxmlformats.org/officeDocument/2006/relationships/oleObject" Target="embeddings/oleObject240.bin"/><Relationship Id="rId504" Type="http://schemas.openxmlformats.org/officeDocument/2006/relationships/oleObject" Target="embeddings/oleObject247.bin"/><Relationship Id="rId546" Type="http://schemas.openxmlformats.org/officeDocument/2006/relationships/oleObject" Target="embeddings/oleObject274.bin"/><Relationship Id="rId711" Type="http://schemas.openxmlformats.org/officeDocument/2006/relationships/image" Target="media/image290.wmf"/><Relationship Id="rId753" Type="http://schemas.openxmlformats.org/officeDocument/2006/relationships/hyperlink" Target="http://www.eastmoney.com/" TargetMode="External"/><Relationship Id="rId78" Type="http://schemas.openxmlformats.org/officeDocument/2006/relationships/oleObject" Target="embeddings/oleObject21.bin"/><Relationship Id="rId101" Type="http://schemas.openxmlformats.org/officeDocument/2006/relationships/image" Target="media/image33.wmf"/><Relationship Id="rId143" Type="http://schemas.openxmlformats.org/officeDocument/2006/relationships/image" Target="media/image44.wmf"/><Relationship Id="rId185" Type="http://schemas.openxmlformats.org/officeDocument/2006/relationships/oleObject" Target="embeddings/oleObject67.bin"/><Relationship Id="rId350" Type="http://schemas.openxmlformats.org/officeDocument/2006/relationships/image" Target="media/image138.wmf"/><Relationship Id="rId406" Type="http://schemas.openxmlformats.org/officeDocument/2006/relationships/oleObject" Target="embeddings/oleObject193.bin"/><Relationship Id="rId588" Type="http://schemas.openxmlformats.org/officeDocument/2006/relationships/oleObject" Target="embeddings/oleObject296.bin"/><Relationship Id="rId9" Type="http://schemas.openxmlformats.org/officeDocument/2006/relationships/image" Target="media/image2.jpeg"/><Relationship Id="rId210" Type="http://schemas.openxmlformats.org/officeDocument/2006/relationships/oleObject" Target="embeddings/oleObject81.bin"/><Relationship Id="rId392" Type="http://schemas.openxmlformats.org/officeDocument/2006/relationships/oleObject" Target="embeddings/oleObject183.bin"/><Relationship Id="rId448" Type="http://schemas.openxmlformats.org/officeDocument/2006/relationships/image" Target="media/image175.wmf"/><Relationship Id="rId613" Type="http://schemas.openxmlformats.org/officeDocument/2006/relationships/image" Target="media/image248.wmf"/><Relationship Id="rId655" Type="http://schemas.openxmlformats.org/officeDocument/2006/relationships/oleObject" Target="embeddings/oleObject336.bin"/><Relationship Id="rId697" Type="http://schemas.openxmlformats.org/officeDocument/2006/relationships/image" Target="media/image283.wmf"/><Relationship Id="rId252" Type="http://schemas.openxmlformats.org/officeDocument/2006/relationships/image" Target="media/image92.wmf"/><Relationship Id="rId294" Type="http://schemas.openxmlformats.org/officeDocument/2006/relationships/oleObject" Target="embeddings/oleObject127.bin"/><Relationship Id="rId308" Type="http://schemas.openxmlformats.org/officeDocument/2006/relationships/oleObject" Target="embeddings/oleObject134.bin"/><Relationship Id="rId515" Type="http://schemas.openxmlformats.org/officeDocument/2006/relationships/image" Target="media/image207.wmf"/><Relationship Id="rId722" Type="http://schemas.openxmlformats.org/officeDocument/2006/relationships/oleObject" Target="embeddings/oleObject372.bin"/><Relationship Id="rId47" Type="http://schemas.openxmlformats.org/officeDocument/2006/relationships/image" Target="media/image7.wmf"/><Relationship Id="rId89" Type="http://schemas.openxmlformats.org/officeDocument/2006/relationships/image" Target="media/image27.wmf"/><Relationship Id="rId112" Type="http://schemas.openxmlformats.org/officeDocument/2006/relationships/hyperlink" Target="http://baike.baidu.com/view/978791.htm" TargetMode="External"/><Relationship Id="rId154" Type="http://schemas.openxmlformats.org/officeDocument/2006/relationships/oleObject" Target="embeddings/oleObject50.bin"/><Relationship Id="rId361" Type="http://schemas.openxmlformats.org/officeDocument/2006/relationships/oleObject" Target="embeddings/oleObject163.bin"/><Relationship Id="rId557" Type="http://schemas.openxmlformats.org/officeDocument/2006/relationships/image" Target="media/image223.wmf"/><Relationship Id="rId599" Type="http://schemas.openxmlformats.org/officeDocument/2006/relationships/oleObject" Target="embeddings/oleObject302.bin"/><Relationship Id="rId196" Type="http://schemas.openxmlformats.org/officeDocument/2006/relationships/image" Target="media/image69.wmf"/><Relationship Id="rId417" Type="http://schemas.openxmlformats.org/officeDocument/2006/relationships/image" Target="media/image162.wmf"/><Relationship Id="rId459" Type="http://schemas.openxmlformats.org/officeDocument/2006/relationships/image" Target="media/image180.wmf"/><Relationship Id="rId624" Type="http://schemas.openxmlformats.org/officeDocument/2006/relationships/image" Target="media/image252.wmf"/><Relationship Id="rId666" Type="http://schemas.openxmlformats.org/officeDocument/2006/relationships/oleObject" Target="embeddings/oleObject344.bin"/><Relationship Id="rId16" Type="http://schemas.openxmlformats.org/officeDocument/2006/relationships/hyperlink" Target="http://news.hexun.com/usa/index.html" TargetMode="External"/><Relationship Id="rId221" Type="http://schemas.openxmlformats.org/officeDocument/2006/relationships/oleObject" Target="embeddings/oleObject87.bin"/><Relationship Id="rId263" Type="http://schemas.openxmlformats.org/officeDocument/2006/relationships/image" Target="media/image97.wmf"/><Relationship Id="rId319" Type="http://schemas.openxmlformats.org/officeDocument/2006/relationships/image" Target="media/image124.wmf"/><Relationship Id="rId470" Type="http://schemas.openxmlformats.org/officeDocument/2006/relationships/oleObject" Target="embeddings/oleObject230.bin"/><Relationship Id="rId526" Type="http://schemas.openxmlformats.org/officeDocument/2006/relationships/oleObject" Target="embeddings/oleObject260.bin"/><Relationship Id="rId58" Type="http://schemas.openxmlformats.org/officeDocument/2006/relationships/image" Target="media/image12.wmf"/><Relationship Id="rId123" Type="http://schemas.openxmlformats.org/officeDocument/2006/relationships/hyperlink" Target="http://baike.baidu.com/view/15549.htm" TargetMode="External"/><Relationship Id="rId330" Type="http://schemas.openxmlformats.org/officeDocument/2006/relationships/oleObject" Target="embeddings/oleObject146.bin"/><Relationship Id="rId568" Type="http://schemas.openxmlformats.org/officeDocument/2006/relationships/oleObject" Target="embeddings/oleObject286.bin"/><Relationship Id="rId733" Type="http://schemas.openxmlformats.org/officeDocument/2006/relationships/image" Target="media/image301.wmf"/><Relationship Id="rId165" Type="http://schemas.openxmlformats.org/officeDocument/2006/relationships/oleObject" Target="embeddings/oleObject56.bin"/><Relationship Id="rId372" Type="http://schemas.openxmlformats.org/officeDocument/2006/relationships/oleObject" Target="embeddings/oleObject169.bin"/><Relationship Id="rId428" Type="http://schemas.openxmlformats.org/officeDocument/2006/relationships/image" Target="media/image167.wmf"/><Relationship Id="rId635" Type="http://schemas.openxmlformats.org/officeDocument/2006/relationships/oleObject" Target="embeddings/oleObject323.bin"/><Relationship Id="rId677" Type="http://schemas.openxmlformats.org/officeDocument/2006/relationships/image" Target="media/image273.wmf"/><Relationship Id="rId232" Type="http://schemas.openxmlformats.org/officeDocument/2006/relationships/image" Target="media/image85.wmf"/><Relationship Id="rId274" Type="http://schemas.openxmlformats.org/officeDocument/2006/relationships/oleObject" Target="embeddings/oleObject117.bin"/><Relationship Id="rId481" Type="http://schemas.openxmlformats.org/officeDocument/2006/relationships/image" Target="media/image191.wmf"/><Relationship Id="rId702" Type="http://schemas.openxmlformats.org/officeDocument/2006/relationships/oleObject" Target="embeddings/oleObject362.bin"/><Relationship Id="rId27" Type="http://schemas.openxmlformats.org/officeDocument/2006/relationships/hyperlink" Target="http://insurance.hexun.com/" TargetMode="External"/><Relationship Id="rId69" Type="http://schemas.openxmlformats.org/officeDocument/2006/relationships/image" Target="media/image17.wmf"/><Relationship Id="rId134" Type="http://schemas.openxmlformats.org/officeDocument/2006/relationships/image" Target="media/image40.wmf"/><Relationship Id="rId537" Type="http://schemas.openxmlformats.org/officeDocument/2006/relationships/image" Target="media/image213.wmf"/><Relationship Id="rId579" Type="http://schemas.openxmlformats.org/officeDocument/2006/relationships/image" Target="media/image233.wmf"/><Relationship Id="rId744" Type="http://schemas.openxmlformats.org/officeDocument/2006/relationships/hyperlink" Target="http://www.amazon.cn/%E7%BB%8F%E6%B5%8E%E5%AD%A6%E8%AF%B4%E5%8F%B2/dp/B0050MLKV6/ref=sr_1_41?s=books&amp;ie=UTF8&amp;qid=1412060110&amp;sr=1-41&amp;keywords=%E9%81%93%E5%BE%B7%E6%83%85%E6%93%8D%E8%AE%BA" TargetMode="External"/><Relationship Id="rId80" Type="http://schemas.openxmlformats.org/officeDocument/2006/relationships/oleObject" Target="embeddings/oleObject22.bin"/><Relationship Id="rId176" Type="http://schemas.openxmlformats.org/officeDocument/2006/relationships/image" Target="media/image59.wmf"/><Relationship Id="rId341" Type="http://schemas.openxmlformats.org/officeDocument/2006/relationships/oleObject" Target="embeddings/oleObject153.bin"/><Relationship Id="rId383" Type="http://schemas.openxmlformats.org/officeDocument/2006/relationships/oleObject" Target="embeddings/oleObject176.bin"/><Relationship Id="rId439" Type="http://schemas.openxmlformats.org/officeDocument/2006/relationships/oleObject" Target="embeddings/oleObject213.bin"/><Relationship Id="rId590" Type="http://schemas.openxmlformats.org/officeDocument/2006/relationships/image" Target="media/image238.wmf"/><Relationship Id="rId604" Type="http://schemas.openxmlformats.org/officeDocument/2006/relationships/oleObject" Target="embeddings/oleObject306.bin"/><Relationship Id="rId646" Type="http://schemas.openxmlformats.org/officeDocument/2006/relationships/oleObject" Target="embeddings/oleObject331.bin"/><Relationship Id="rId201" Type="http://schemas.openxmlformats.org/officeDocument/2006/relationships/image" Target="media/image71.wmf"/><Relationship Id="rId243" Type="http://schemas.openxmlformats.org/officeDocument/2006/relationships/oleObject" Target="embeddings/oleObject99.bin"/><Relationship Id="rId285" Type="http://schemas.openxmlformats.org/officeDocument/2006/relationships/image" Target="media/image108.wmf"/><Relationship Id="rId450" Type="http://schemas.openxmlformats.org/officeDocument/2006/relationships/oleObject" Target="embeddings/oleObject220.bin"/><Relationship Id="rId506" Type="http://schemas.openxmlformats.org/officeDocument/2006/relationships/oleObject" Target="embeddings/oleObject248.bin"/><Relationship Id="rId688" Type="http://schemas.openxmlformats.org/officeDocument/2006/relationships/oleObject" Target="embeddings/oleObject355.bin"/><Relationship Id="rId38" Type="http://schemas.openxmlformats.org/officeDocument/2006/relationships/hyperlink" Target="http://baike.baidu.com/view/3593.htm" TargetMode="External"/><Relationship Id="rId103" Type="http://schemas.openxmlformats.org/officeDocument/2006/relationships/image" Target="media/image34.wmf"/><Relationship Id="rId310" Type="http://schemas.openxmlformats.org/officeDocument/2006/relationships/oleObject" Target="embeddings/oleObject135.bin"/><Relationship Id="rId492" Type="http://schemas.openxmlformats.org/officeDocument/2006/relationships/oleObject" Target="embeddings/oleObject241.bin"/><Relationship Id="rId548" Type="http://schemas.openxmlformats.org/officeDocument/2006/relationships/oleObject" Target="embeddings/oleObject275.bin"/><Relationship Id="rId713" Type="http://schemas.openxmlformats.org/officeDocument/2006/relationships/image" Target="media/image291.wmf"/><Relationship Id="rId755" Type="http://schemas.openxmlformats.org/officeDocument/2006/relationships/header" Target="header3.xml"/><Relationship Id="rId91" Type="http://schemas.openxmlformats.org/officeDocument/2006/relationships/image" Target="media/image28.wmf"/><Relationship Id="rId145" Type="http://schemas.openxmlformats.org/officeDocument/2006/relationships/image" Target="media/image45.wmf"/><Relationship Id="rId187" Type="http://schemas.openxmlformats.org/officeDocument/2006/relationships/oleObject" Target="embeddings/oleObject68.bin"/><Relationship Id="rId352" Type="http://schemas.openxmlformats.org/officeDocument/2006/relationships/image" Target="media/image139.wmf"/><Relationship Id="rId394" Type="http://schemas.openxmlformats.org/officeDocument/2006/relationships/oleObject" Target="embeddings/oleObject185.bin"/><Relationship Id="rId408" Type="http://schemas.openxmlformats.org/officeDocument/2006/relationships/oleObject" Target="embeddings/oleObject195.bin"/><Relationship Id="rId615" Type="http://schemas.openxmlformats.org/officeDocument/2006/relationships/image" Target="media/image249.wmf"/><Relationship Id="rId212" Type="http://schemas.openxmlformats.org/officeDocument/2006/relationships/oleObject" Target="embeddings/oleObject82.bin"/><Relationship Id="rId254" Type="http://schemas.openxmlformats.org/officeDocument/2006/relationships/image" Target="media/image93.wmf"/><Relationship Id="rId657" Type="http://schemas.openxmlformats.org/officeDocument/2006/relationships/oleObject" Target="embeddings/oleObject337.bin"/><Relationship Id="rId699" Type="http://schemas.openxmlformats.org/officeDocument/2006/relationships/image" Target="media/image284.wmf"/><Relationship Id="rId49" Type="http://schemas.openxmlformats.org/officeDocument/2006/relationships/image" Target="media/image8.wmf"/><Relationship Id="rId114" Type="http://schemas.openxmlformats.org/officeDocument/2006/relationships/hyperlink" Target="http://baike.baidu.com/view/172289.htm" TargetMode="External"/><Relationship Id="rId296" Type="http://schemas.openxmlformats.org/officeDocument/2006/relationships/oleObject" Target="embeddings/oleObject128.bin"/><Relationship Id="rId461" Type="http://schemas.openxmlformats.org/officeDocument/2006/relationships/image" Target="media/image181.wmf"/><Relationship Id="rId517" Type="http://schemas.openxmlformats.org/officeDocument/2006/relationships/oleObject" Target="embeddings/oleObject255.bin"/><Relationship Id="rId559" Type="http://schemas.openxmlformats.org/officeDocument/2006/relationships/oleObject" Target="embeddings/oleObject281.bin"/><Relationship Id="rId724" Type="http://schemas.openxmlformats.org/officeDocument/2006/relationships/oleObject" Target="embeddings/oleObject373.bin"/><Relationship Id="rId60" Type="http://schemas.openxmlformats.org/officeDocument/2006/relationships/image" Target="media/image13.wmf"/><Relationship Id="rId156" Type="http://schemas.openxmlformats.org/officeDocument/2006/relationships/oleObject" Target="embeddings/oleObject51.bin"/><Relationship Id="rId198" Type="http://schemas.openxmlformats.org/officeDocument/2006/relationships/oleObject" Target="embeddings/oleObject74.bin"/><Relationship Id="rId321" Type="http://schemas.openxmlformats.org/officeDocument/2006/relationships/image" Target="media/image125.wmf"/><Relationship Id="rId363" Type="http://schemas.openxmlformats.org/officeDocument/2006/relationships/oleObject" Target="embeddings/oleObject164.bin"/><Relationship Id="rId419" Type="http://schemas.openxmlformats.org/officeDocument/2006/relationships/oleObject" Target="embeddings/oleObject202.bin"/><Relationship Id="rId570" Type="http://schemas.openxmlformats.org/officeDocument/2006/relationships/oleObject" Target="embeddings/oleObject287.bin"/><Relationship Id="rId626" Type="http://schemas.openxmlformats.org/officeDocument/2006/relationships/image" Target="media/image253.wmf"/><Relationship Id="rId223" Type="http://schemas.openxmlformats.org/officeDocument/2006/relationships/oleObject" Target="embeddings/oleObject88.bin"/><Relationship Id="rId430" Type="http://schemas.openxmlformats.org/officeDocument/2006/relationships/image" Target="media/image168.wmf"/><Relationship Id="rId668" Type="http://schemas.openxmlformats.org/officeDocument/2006/relationships/oleObject" Target="embeddings/oleObject345.bin"/><Relationship Id="rId18" Type="http://schemas.openxmlformats.org/officeDocument/2006/relationships/hyperlink" Target="http://law.hexun.com/" TargetMode="External"/><Relationship Id="rId265" Type="http://schemas.openxmlformats.org/officeDocument/2006/relationships/image" Target="media/image98.wmf"/><Relationship Id="rId472" Type="http://schemas.openxmlformats.org/officeDocument/2006/relationships/oleObject" Target="embeddings/oleObject231.bin"/><Relationship Id="rId528" Type="http://schemas.openxmlformats.org/officeDocument/2006/relationships/oleObject" Target="embeddings/oleObject262.bin"/><Relationship Id="rId735" Type="http://schemas.openxmlformats.org/officeDocument/2006/relationships/image" Target="media/image302.wmf"/><Relationship Id="rId125" Type="http://schemas.openxmlformats.org/officeDocument/2006/relationships/hyperlink" Target="http://baike.baidu.com/view/539529.htm" TargetMode="External"/><Relationship Id="rId167" Type="http://schemas.openxmlformats.org/officeDocument/2006/relationships/oleObject" Target="embeddings/oleObject57.bin"/><Relationship Id="rId332" Type="http://schemas.openxmlformats.org/officeDocument/2006/relationships/oleObject" Target="embeddings/oleObject147.bin"/><Relationship Id="rId374" Type="http://schemas.openxmlformats.org/officeDocument/2006/relationships/oleObject" Target="embeddings/oleObject170.bin"/><Relationship Id="rId581" Type="http://schemas.openxmlformats.org/officeDocument/2006/relationships/image" Target="media/image234.wmf"/><Relationship Id="rId71" Type="http://schemas.openxmlformats.org/officeDocument/2006/relationships/image" Target="media/image18.wmf"/><Relationship Id="rId234" Type="http://schemas.openxmlformats.org/officeDocument/2006/relationships/oleObject" Target="embeddings/oleObject94.bin"/><Relationship Id="rId637" Type="http://schemas.openxmlformats.org/officeDocument/2006/relationships/oleObject" Target="embeddings/oleObject324.bin"/><Relationship Id="rId679" Type="http://schemas.openxmlformats.org/officeDocument/2006/relationships/image" Target="media/image274.wmf"/><Relationship Id="rId2" Type="http://schemas.openxmlformats.org/officeDocument/2006/relationships/numbering" Target="numbering.xml"/><Relationship Id="rId29" Type="http://schemas.openxmlformats.org/officeDocument/2006/relationships/hyperlink" Target="http://baike.baidu.com/view/969465.htm" TargetMode="External"/><Relationship Id="rId276" Type="http://schemas.openxmlformats.org/officeDocument/2006/relationships/oleObject" Target="embeddings/oleObject118.bin"/><Relationship Id="rId441" Type="http://schemas.openxmlformats.org/officeDocument/2006/relationships/oleObject" Target="embeddings/oleObject214.bin"/><Relationship Id="rId483" Type="http://schemas.openxmlformats.org/officeDocument/2006/relationships/image" Target="media/image192.wmf"/><Relationship Id="rId539" Type="http://schemas.openxmlformats.org/officeDocument/2006/relationships/image" Target="media/image214.wmf"/><Relationship Id="rId690" Type="http://schemas.openxmlformats.org/officeDocument/2006/relationships/oleObject" Target="embeddings/oleObject356.bin"/><Relationship Id="rId704" Type="http://schemas.openxmlformats.org/officeDocument/2006/relationships/oleObject" Target="embeddings/oleObject363.bin"/><Relationship Id="rId746" Type="http://schemas.openxmlformats.org/officeDocument/2006/relationships/hyperlink" Target="http://www.amazon.cn/s/ref=dp_byline_sr_book_1?ie=UTF8&amp;field-author=%E5%B8%83%E9%B2%81%E8%AF%BA%C2%B7%E7%B4%A2%E5%B0%94%E5%B0%BC%E5%85%8B&amp;search-alias=books" TargetMode="External"/><Relationship Id="rId40" Type="http://schemas.openxmlformats.org/officeDocument/2006/relationships/oleObject" Target="embeddings/oleObject1.bin"/><Relationship Id="rId136" Type="http://schemas.openxmlformats.org/officeDocument/2006/relationships/image" Target="media/image41.wmf"/><Relationship Id="rId178" Type="http://schemas.openxmlformats.org/officeDocument/2006/relationships/image" Target="media/image60.wmf"/><Relationship Id="rId301" Type="http://schemas.openxmlformats.org/officeDocument/2006/relationships/image" Target="media/image116.wmf"/><Relationship Id="rId343" Type="http://schemas.openxmlformats.org/officeDocument/2006/relationships/oleObject" Target="embeddings/oleObject154.bin"/><Relationship Id="rId550" Type="http://schemas.openxmlformats.org/officeDocument/2006/relationships/oleObject" Target="embeddings/oleObject276.bin"/><Relationship Id="rId82" Type="http://schemas.openxmlformats.org/officeDocument/2006/relationships/oleObject" Target="embeddings/oleObject23.bin"/><Relationship Id="rId203" Type="http://schemas.openxmlformats.org/officeDocument/2006/relationships/oleObject" Target="embeddings/oleObject77.bin"/><Relationship Id="rId385" Type="http://schemas.openxmlformats.org/officeDocument/2006/relationships/oleObject" Target="embeddings/oleObject178.bin"/><Relationship Id="rId592" Type="http://schemas.openxmlformats.org/officeDocument/2006/relationships/image" Target="media/image239.wmf"/><Relationship Id="rId606" Type="http://schemas.openxmlformats.org/officeDocument/2006/relationships/oleObject" Target="embeddings/oleObject307.bin"/><Relationship Id="rId648" Type="http://schemas.openxmlformats.org/officeDocument/2006/relationships/oleObject" Target="embeddings/oleObject332.bin"/><Relationship Id="rId245" Type="http://schemas.openxmlformats.org/officeDocument/2006/relationships/oleObject" Target="embeddings/oleObject101.bin"/><Relationship Id="rId287" Type="http://schemas.openxmlformats.org/officeDocument/2006/relationships/image" Target="media/image109.wmf"/><Relationship Id="rId410" Type="http://schemas.openxmlformats.org/officeDocument/2006/relationships/image" Target="media/image159.wmf"/><Relationship Id="rId452" Type="http://schemas.openxmlformats.org/officeDocument/2006/relationships/oleObject" Target="embeddings/oleObject221.bin"/><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image" Target="media/image292.wmf"/><Relationship Id="rId105" Type="http://schemas.openxmlformats.org/officeDocument/2006/relationships/image" Target="media/image35.wmf"/><Relationship Id="rId147" Type="http://schemas.openxmlformats.org/officeDocument/2006/relationships/image" Target="media/image46.wmf"/><Relationship Id="rId312" Type="http://schemas.openxmlformats.org/officeDocument/2006/relationships/oleObject" Target="embeddings/oleObject136.bin"/><Relationship Id="rId354" Type="http://schemas.openxmlformats.org/officeDocument/2006/relationships/image" Target="media/image140.wmf"/><Relationship Id="rId757" Type="http://schemas.openxmlformats.org/officeDocument/2006/relationships/footer" Target="footer2.xml"/><Relationship Id="rId51" Type="http://schemas.openxmlformats.org/officeDocument/2006/relationships/image" Target="media/image9.wmf"/><Relationship Id="rId93" Type="http://schemas.openxmlformats.org/officeDocument/2006/relationships/image" Target="media/image29.wmf"/><Relationship Id="rId189" Type="http://schemas.openxmlformats.org/officeDocument/2006/relationships/oleObject" Target="embeddings/oleObject69.bin"/><Relationship Id="rId396" Type="http://schemas.openxmlformats.org/officeDocument/2006/relationships/oleObject" Target="embeddings/oleObject186.bin"/><Relationship Id="rId561" Type="http://schemas.openxmlformats.org/officeDocument/2006/relationships/image" Target="media/image224.wmf"/><Relationship Id="rId617" Type="http://schemas.openxmlformats.org/officeDocument/2006/relationships/image" Target="media/image250.wmf"/><Relationship Id="rId659" Type="http://schemas.openxmlformats.org/officeDocument/2006/relationships/oleObject" Target="embeddings/oleObject339.bin"/><Relationship Id="rId214" Type="http://schemas.openxmlformats.org/officeDocument/2006/relationships/oleObject" Target="embeddings/oleObject83.bin"/><Relationship Id="rId256" Type="http://schemas.openxmlformats.org/officeDocument/2006/relationships/image" Target="media/image94.wmf"/><Relationship Id="rId298" Type="http://schemas.openxmlformats.org/officeDocument/2006/relationships/oleObject" Target="embeddings/oleObject129.bin"/><Relationship Id="rId421" Type="http://schemas.openxmlformats.org/officeDocument/2006/relationships/oleObject" Target="embeddings/oleObject203.bin"/><Relationship Id="rId463" Type="http://schemas.openxmlformats.org/officeDocument/2006/relationships/image" Target="media/image182.wmf"/><Relationship Id="rId519" Type="http://schemas.openxmlformats.org/officeDocument/2006/relationships/image" Target="media/image208.wmf"/><Relationship Id="rId670" Type="http://schemas.openxmlformats.org/officeDocument/2006/relationships/oleObject" Target="embeddings/oleObject346.bin"/><Relationship Id="rId116" Type="http://schemas.openxmlformats.org/officeDocument/2006/relationships/hyperlink" Target="http://baike.baidu.com/view/190731.htm" TargetMode="External"/><Relationship Id="rId158" Type="http://schemas.openxmlformats.org/officeDocument/2006/relationships/image" Target="media/image51.wmf"/><Relationship Id="rId323" Type="http://schemas.openxmlformats.org/officeDocument/2006/relationships/image" Target="media/image126.wmf"/><Relationship Id="rId530" Type="http://schemas.openxmlformats.org/officeDocument/2006/relationships/oleObject" Target="embeddings/oleObject264.bin"/><Relationship Id="rId726" Type="http://schemas.openxmlformats.org/officeDocument/2006/relationships/oleObject" Target="embeddings/oleObject374.bin"/><Relationship Id="rId20" Type="http://schemas.openxmlformats.org/officeDocument/2006/relationships/hyperlink" Target="http://renwu.hexun.com/figure_2096.shtml" TargetMode="External"/><Relationship Id="rId62" Type="http://schemas.openxmlformats.org/officeDocument/2006/relationships/oleObject" Target="embeddings/oleObject13.bin"/><Relationship Id="rId365" Type="http://schemas.openxmlformats.org/officeDocument/2006/relationships/oleObject" Target="embeddings/oleObject165.bin"/><Relationship Id="rId572" Type="http://schemas.openxmlformats.org/officeDocument/2006/relationships/oleObject" Target="embeddings/oleObject288.bin"/><Relationship Id="rId628" Type="http://schemas.openxmlformats.org/officeDocument/2006/relationships/image" Target="media/image254.wmf"/><Relationship Id="rId225" Type="http://schemas.openxmlformats.org/officeDocument/2006/relationships/oleObject" Target="embeddings/oleObject89.bin"/><Relationship Id="rId267" Type="http://schemas.openxmlformats.org/officeDocument/2006/relationships/image" Target="media/image99.wmf"/><Relationship Id="rId432" Type="http://schemas.openxmlformats.org/officeDocument/2006/relationships/oleObject" Target="embeddings/oleObject209.bin"/><Relationship Id="rId474" Type="http://schemas.openxmlformats.org/officeDocument/2006/relationships/oleObject" Target="embeddings/oleObject232.bin"/><Relationship Id="rId127" Type="http://schemas.openxmlformats.org/officeDocument/2006/relationships/oleObject" Target="embeddings/oleObject36.bin"/><Relationship Id="rId681" Type="http://schemas.openxmlformats.org/officeDocument/2006/relationships/image" Target="media/image275.wmf"/><Relationship Id="rId737" Type="http://schemas.openxmlformats.org/officeDocument/2006/relationships/image" Target="media/image303.wmf"/><Relationship Id="rId31" Type="http://schemas.openxmlformats.org/officeDocument/2006/relationships/hyperlink" Target="http://baike.baidu.com/view/272517.htm" TargetMode="External"/><Relationship Id="rId73" Type="http://schemas.openxmlformats.org/officeDocument/2006/relationships/image" Target="media/image19.wmf"/><Relationship Id="rId169" Type="http://schemas.openxmlformats.org/officeDocument/2006/relationships/image" Target="media/image56.wmf"/><Relationship Id="rId334" Type="http://schemas.openxmlformats.org/officeDocument/2006/relationships/oleObject" Target="embeddings/oleObject148.bin"/><Relationship Id="rId376" Type="http://schemas.openxmlformats.org/officeDocument/2006/relationships/oleObject" Target="embeddings/oleObject171.bin"/><Relationship Id="rId541" Type="http://schemas.openxmlformats.org/officeDocument/2006/relationships/image" Target="media/image215.wmf"/><Relationship Id="rId583" Type="http://schemas.openxmlformats.org/officeDocument/2006/relationships/image" Target="media/image235.wmf"/><Relationship Id="rId639" Type="http://schemas.openxmlformats.org/officeDocument/2006/relationships/oleObject" Target="embeddings/oleObject325.bin"/><Relationship Id="rId4" Type="http://schemas.openxmlformats.org/officeDocument/2006/relationships/settings" Target="settings.xml"/><Relationship Id="rId180" Type="http://schemas.openxmlformats.org/officeDocument/2006/relationships/image" Target="media/image61.wmf"/><Relationship Id="rId215" Type="http://schemas.openxmlformats.org/officeDocument/2006/relationships/image" Target="media/image77.wmf"/><Relationship Id="rId236" Type="http://schemas.openxmlformats.org/officeDocument/2006/relationships/oleObject" Target="embeddings/oleObject95.bin"/><Relationship Id="rId257" Type="http://schemas.openxmlformats.org/officeDocument/2006/relationships/oleObject" Target="embeddings/oleObject108.bin"/><Relationship Id="rId278" Type="http://schemas.openxmlformats.org/officeDocument/2006/relationships/oleObject" Target="embeddings/oleObject119.bin"/><Relationship Id="rId401" Type="http://schemas.openxmlformats.org/officeDocument/2006/relationships/oleObject" Target="embeddings/oleObject190.bin"/><Relationship Id="rId422" Type="http://schemas.openxmlformats.org/officeDocument/2006/relationships/image" Target="media/image164.wmf"/><Relationship Id="rId443" Type="http://schemas.openxmlformats.org/officeDocument/2006/relationships/oleObject" Target="embeddings/oleObject215.bin"/><Relationship Id="rId464" Type="http://schemas.openxmlformats.org/officeDocument/2006/relationships/oleObject" Target="embeddings/oleObject227.bin"/><Relationship Id="rId650" Type="http://schemas.openxmlformats.org/officeDocument/2006/relationships/oleObject" Target="embeddings/oleObject333.bin"/><Relationship Id="rId303" Type="http://schemas.openxmlformats.org/officeDocument/2006/relationships/image" Target="media/image117.wmf"/><Relationship Id="rId485" Type="http://schemas.openxmlformats.org/officeDocument/2006/relationships/image" Target="media/image193.wmf"/><Relationship Id="rId692" Type="http://schemas.openxmlformats.org/officeDocument/2006/relationships/oleObject" Target="embeddings/oleObject357.bin"/><Relationship Id="rId706" Type="http://schemas.openxmlformats.org/officeDocument/2006/relationships/oleObject" Target="embeddings/oleObject364.bin"/><Relationship Id="rId748" Type="http://schemas.openxmlformats.org/officeDocument/2006/relationships/hyperlink" Target="http://book.jd.com/publish/%E6%9C%BA%E6%A2%B0%E5%B7%A5%E4%B8%9A%E5%87%BA%E7%89%88%E7%A4%BE_1.html" TargetMode="External"/><Relationship Id="rId42" Type="http://schemas.openxmlformats.org/officeDocument/2006/relationships/oleObject" Target="embeddings/oleObject2.bin"/><Relationship Id="rId84" Type="http://schemas.openxmlformats.org/officeDocument/2006/relationships/oleObject" Target="embeddings/oleObject24.bin"/><Relationship Id="rId138" Type="http://schemas.openxmlformats.org/officeDocument/2006/relationships/image" Target="media/image42.wmf"/><Relationship Id="rId345" Type="http://schemas.openxmlformats.org/officeDocument/2006/relationships/oleObject" Target="embeddings/oleObject155.bin"/><Relationship Id="rId387" Type="http://schemas.openxmlformats.org/officeDocument/2006/relationships/oleObject" Target="embeddings/oleObject179.bin"/><Relationship Id="rId510" Type="http://schemas.openxmlformats.org/officeDocument/2006/relationships/oleObject" Target="embeddings/oleObject250.bin"/><Relationship Id="rId552" Type="http://schemas.openxmlformats.org/officeDocument/2006/relationships/oleObject" Target="embeddings/oleObject277.bin"/><Relationship Id="rId594" Type="http://schemas.openxmlformats.org/officeDocument/2006/relationships/image" Target="media/image240.wmf"/><Relationship Id="rId608" Type="http://schemas.openxmlformats.org/officeDocument/2006/relationships/oleObject" Target="embeddings/oleObject308.bin"/><Relationship Id="rId191" Type="http://schemas.openxmlformats.org/officeDocument/2006/relationships/oleObject" Target="embeddings/oleObject70.bin"/><Relationship Id="rId205" Type="http://schemas.openxmlformats.org/officeDocument/2006/relationships/oleObject" Target="embeddings/oleObject78.bin"/><Relationship Id="rId247" Type="http://schemas.openxmlformats.org/officeDocument/2006/relationships/oleObject" Target="embeddings/oleObject103.bin"/><Relationship Id="rId412" Type="http://schemas.openxmlformats.org/officeDocument/2006/relationships/image" Target="media/image160.wmf"/><Relationship Id="rId107" Type="http://schemas.openxmlformats.org/officeDocument/2006/relationships/hyperlink" Target="http://baike.baidu.com/view/15351.htm" TargetMode="External"/><Relationship Id="rId289" Type="http://schemas.openxmlformats.org/officeDocument/2006/relationships/image" Target="media/image110.wmf"/><Relationship Id="rId454" Type="http://schemas.openxmlformats.org/officeDocument/2006/relationships/oleObject" Target="embeddings/oleObject222.bin"/><Relationship Id="rId496" Type="http://schemas.openxmlformats.org/officeDocument/2006/relationships/oleObject" Target="embeddings/oleObject243.bin"/><Relationship Id="rId661" Type="http://schemas.openxmlformats.org/officeDocument/2006/relationships/oleObject" Target="embeddings/oleObject340.bin"/><Relationship Id="rId717" Type="http://schemas.openxmlformats.org/officeDocument/2006/relationships/image" Target="media/image293.wmf"/><Relationship Id="rId759" Type="http://schemas.openxmlformats.org/officeDocument/2006/relationships/footer" Target="footer3.xml"/><Relationship Id="rId11" Type="http://schemas.openxmlformats.org/officeDocument/2006/relationships/hyperlink" Target="http://baike.baidu.com/view/183124.htm" TargetMode="External"/><Relationship Id="rId53" Type="http://schemas.openxmlformats.org/officeDocument/2006/relationships/oleObject" Target="embeddings/oleObject8.bin"/><Relationship Id="rId149" Type="http://schemas.openxmlformats.org/officeDocument/2006/relationships/image" Target="media/image47.wmf"/><Relationship Id="rId314" Type="http://schemas.openxmlformats.org/officeDocument/2006/relationships/oleObject" Target="embeddings/oleObject137.bin"/><Relationship Id="rId356" Type="http://schemas.openxmlformats.org/officeDocument/2006/relationships/image" Target="media/image141.wmf"/><Relationship Id="rId398" Type="http://schemas.openxmlformats.org/officeDocument/2006/relationships/oleObject" Target="embeddings/oleObject188.bin"/><Relationship Id="rId521" Type="http://schemas.openxmlformats.org/officeDocument/2006/relationships/image" Target="media/image209.wmf"/><Relationship Id="rId563" Type="http://schemas.openxmlformats.org/officeDocument/2006/relationships/image" Target="media/image225.wmf"/><Relationship Id="rId619" Type="http://schemas.openxmlformats.org/officeDocument/2006/relationships/oleObject" Target="embeddings/oleObject314.bin"/><Relationship Id="rId95" Type="http://schemas.openxmlformats.org/officeDocument/2006/relationships/image" Target="media/image30.wmf"/><Relationship Id="rId160" Type="http://schemas.openxmlformats.org/officeDocument/2006/relationships/image" Target="media/image52.wmf"/><Relationship Id="rId216" Type="http://schemas.openxmlformats.org/officeDocument/2006/relationships/oleObject" Target="embeddings/oleObject84.bin"/><Relationship Id="rId423" Type="http://schemas.openxmlformats.org/officeDocument/2006/relationships/oleObject" Target="embeddings/oleObject204.bin"/><Relationship Id="rId258" Type="http://schemas.openxmlformats.org/officeDocument/2006/relationships/oleObject" Target="embeddings/oleObject109.bin"/><Relationship Id="rId465" Type="http://schemas.openxmlformats.org/officeDocument/2006/relationships/image" Target="media/image183.wmf"/><Relationship Id="rId630" Type="http://schemas.openxmlformats.org/officeDocument/2006/relationships/image" Target="media/image255.wmf"/><Relationship Id="rId672" Type="http://schemas.openxmlformats.org/officeDocument/2006/relationships/oleObject" Target="embeddings/oleObject347.bin"/><Relationship Id="rId728" Type="http://schemas.openxmlformats.org/officeDocument/2006/relationships/oleObject" Target="embeddings/oleObject375.bin"/><Relationship Id="rId22" Type="http://schemas.openxmlformats.org/officeDocument/2006/relationships/hyperlink" Target="http://futures.hexun.com/" TargetMode="External"/><Relationship Id="rId64" Type="http://schemas.openxmlformats.org/officeDocument/2006/relationships/oleObject" Target="embeddings/oleObject14.bin"/><Relationship Id="rId118" Type="http://schemas.openxmlformats.org/officeDocument/2006/relationships/hyperlink" Target="http://baike.baidu.com/view/1316694.htm" TargetMode="External"/><Relationship Id="rId325" Type="http://schemas.openxmlformats.org/officeDocument/2006/relationships/image" Target="media/image127.wmf"/><Relationship Id="rId367" Type="http://schemas.openxmlformats.org/officeDocument/2006/relationships/oleObject" Target="embeddings/oleObject166.bin"/><Relationship Id="rId532" Type="http://schemas.openxmlformats.org/officeDocument/2006/relationships/oleObject" Target="embeddings/oleObject266.bin"/><Relationship Id="rId574" Type="http://schemas.openxmlformats.org/officeDocument/2006/relationships/oleObject" Target="embeddings/oleObject289.bin"/><Relationship Id="rId171" Type="http://schemas.openxmlformats.org/officeDocument/2006/relationships/image" Target="media/image57.wmf"/><Relationship Id="rId227" Type="http://schemas.openxmlformats.org/officeDocument/2006/relationships/oleObject" Target="embeddings/oleObject90.bin"/><Relationship Id="rId269" Type="http://schemas.openxmlformats.org/officeDocument/2006/relationships/image" Target="media/image100.wmf"/><Relationship Id="rId434" Type="http://schemas.openxmlformats.org/officeDocument/2006/relationships/oleObject" Target="embeddings/oleObject210.bin"/><Relationship Id="rId476" Type="http://schemas.openxmlformats.org/officeDocument/2006/relationships/oleObject" Target="embeddings/oleObject233.bin"/><Relationship Id="rId641" Type="http://schemas.openxmlformats.org/officeDocument/2006/relationships/oleObject" Target="embeddings/oleObject327.bin"/><Relationship Id="rId683" Type="http://schemas.openxmlformats.org/officeDocument/2006/relationships/image" Target="media/image276.wmf"/><Relationship Id="rId739" Type="http://schemas.openxmlformats.org/officeDocument/2006/relationships/image" Target="media/image304.wmf"/><Relationship Id="rId33" Type="http://schemas.openxmlformats.org/officeDocument/2006/relationships/hyperlink" Target="http://baike.baidu.com/view/68875.htm" TargetMode="External"/><Relationship Id="rId129" Type="http://schemas.openxmlformats.org/officeDocument/2006/relationships/oleObject" Target="embeddings/oleObject37.bin"/><Relationship Id="rId280" Type="http://schemas.openxmlformats.org/officeDocument/2006/relationships/oleObject" Target="embeddings/oleObject120.bin"/><Relationship Id="rId336" Type="http://schemas.openxmlformats.org/officeDocument/2006/relationships/oleObject" Target="embeddings/oleObject150.bin"/><Relationship Id="rId501" Type="http://schemas.openxmlformats.org/officeDocument/2006/relationships/image" Target="media/image201.wmf"/><Relationship Id="rId543" Type="http://schemas.openxmlformats.org/officeDocument/2006/relationships/image" Target="media/image216.wmf"/><Relationship Id="rId75" Type="http://schemas.openxmlformats.org/officeDocument/2006/relationships/image" Target="media/image20.wmf"/><Relationship Id="rId140" Type="http://schemas.openxmlformats.org/officeDocument/2006/relationships/image" Target="media/image43.wmf"/><Relationship Id="rId182" Type="http://schemas.openxmlformats.org/officeDocument/2006/relationships/image" Target="media/image62.wmf"/><Relationship Id="rId378" Type="http://schemas.openxmlformats.org/officeDocument/2006/relationships/oleObject" Target="embeddings/oleObject173.bin"/><Relationship Id="rId403" Type="http://schemas.openxmlformats.org/officeDocument/2006/relationships/oleObject" Target="embeddings/oleObject191.bin"/><Relationship Id="rId585" Type="http://schemas.openxmlformats.org/officeDocument/2006/relationships/image" Target="media/image236.wmf"/><Relationship Id="rId750" Type="http://schemas.openxmlformats.org/officeDocument/2006/relationships/hyperlink" Target="http://www.jjxj.com.cn/" TargetMode="External"/><Relationship Id="rId6" Type="http://schemas.openxmlformats.org/officeDocument/2006/relationships/footnotes" Target="footnotes.xml"/><Relationship Id="rId238" Type="http://schemas.openxmlformats.org/officeDocument/2006/relationships/oleObject" Target="embeddings/oleObject96.bin"/><Relationship Id="rId445" Type="http://schemas.openxmlformats.org/officeDocument/2006/relationships/oleObject" Target="embeddings/oleObject216.bin"/><Relationship Id="rId487" Type="http://schemas.openxmlformats.org/officeDocument/2006/relationships/image" Target="media/image194.wmf"/><Relationship Id="rId610" Type="http://schemas.openxmlformats.org/officeDocument/2006/relationships/oleObject" Target="embeddings/oleObject309.bin"/><Relationship Id="rId652" Type="http://schemas.openxmlformats.org/officeDocument/2006/relationships/oleObject" Target="embeddings/oleObject334.bin"/><Relationship Id="rId694" Type="http://schemas.openxmlformats.org/officeDocument/2006/relationships/oleObject" Target="embeddings/oleObject358.bin"/><Relationship Id="rId708" Type="http://schemas.openxmlformats.org/officeDocument/2006/relationships/oleObject" Target="embeddings/oleObject365.bin"/><Relationship Id="rId291" Type="http://schemas.openxmlformats.org/officeDocument/2006/relationships/image" Target="media/image111.wmf"/><Relationship Id="rId305" Type="http://schemas.openxmlformats.org/officeDocument/2006/relationships/image" Target="media/image118.wmf"/><Relationship Id="rId347" Type="http://schemas.openxmlformats.org/officeDocument/2006/relationships/oleObject" Target="embeddings/oleObject156.bin"/><Relationship Id="rId512" Type="http://schemas.openxmlformats.org/officeDocument/2006/relationships/oleObject" Target="embeddings/oleObject251.bin"/><Relationship Id="rId44" Type="http://schemas.openxmlformats.org/officeDocument/2006/relationships/oleObject" Target="embeddings/oleObject3.bin"/><Relationship Id="rId86" Type="http://schemas.openxmlformats.org/officeDocument/2006/relationships/oleObject" Target="embeddings/oleObject25.bin"/><Relationship Id="rId151" Type="http://schemas.openxmlformats.org/officeDocument/2006/relationships/image" Target="media/image48.wmf"/><Relationship Id="rId389" Type="http://schemas.openxmlformats.org/officeDocument/2006/relationships/image" Target="media/image154.wmf"/><Relationship Id="rId554" Type="http://schemas.openxmlformats.org/officeDocument/2006/relationships/oleObject" Target="embeddings/oleObject278.bin"/><Relationship Id="rId596" Type="http://schemas.openxmlformats.org/officeDocument/2006/relationships/image" Target="media/image241.wmf"/><Relationship Id="rId761" Type="http://schemas.openxmlformats.org/officeDocument/2006/relationships/theme" Target="theme/theme1.xml"/><Relationship Id="rId193" Type="http://schemas.openxmlformats.org/officeDocument/2006/relationships/oleObject" Target="embeddings/oleObject71.bin"/><Relationship Id="rId207" Type="http://schemas.openxmlformats.org/officeDocument/2006/relationships/oleObject" Target="embeddings/oleObject79.bin"/><Relationship Id="rId249" Type="http://schemas.openxmlformats.org/officeDocument/2006/relationships/oleObject" Target="embeddings/oleObject104.bin"/><Relationship Id="rId414" Type="http://schemas.openxmlformats.org/officeDocument/2006/relationships/oleObject" Target="embeddings/oleObject199.bin"/><Relationship Id="rId456" Type="http://schemas.openxmlformats.org/officeDocument/2006/relationships/oleObject" Target="embeddings/oleObject223.bin"/><Relationship Id="rId498" Type="http://schemas.openxmlformats.org/officeDocument/2006/relationships/oleObject" Target="embeddings/oleObject244.bin"/><Relationship Id="rId621" Type="http://schemas.openxmlformats.org/officeDocument/2006/relationships/image" Target="media/image251.wmf"/><Relationship Id="rId663" Type="http://schemas.openxmlformats.org/officeDocument/2006/relationships/image" Target="media/image267.wmf"/><Relationship Id="rId13" Type="http://schemas.openxmlformats.org/officeDocument/2006/relationships/hyperlink" Target="http://news.hexun.com/britain/index.html" TargetMode="External"/><Relationship Id="rId109" Type="http://schemas.openxmlformats.org/officeDocument/2006/relationships/hyperlink" Target="http://baike.baidu.com/view/1389478.htm" TargetMode="External"/><Relationship Id="rId260" Type="http://schemas.openxmlformats.org/officeDocument/2006/relationships/oleObject" Target="embeddings/oleObject110.bin"/><Relationship Id="rId316" Type="http://schemas.openxmlformats.org/officeDocument/2006/relationships/oleObject" Target="embeddings/oleObject139.bin"/><Relationship Id="rId523" Type="http://schemas.openxmlformats.org/officeDocument/2006/relationships/image" Target="media/image210.wmf"/><Relationship Id="rId719" Type="http://schemas.openxmlformats.org/officeDocument/2006/relationships/image" Target="media/image294.wmf"/><Relationship Id="rId55" Type="http://schemas.openxmlformats.org/officeDocument/2006/relationships/oleObject" Target="embeddings/oleObject9.bin"/><Relationship Id="rId97" Type="http://schemas.openxmlformats.org/officeDocument/2006/relationships/image" Target="media/image31.wmf"/><Relationship Id="rId120" Type="http://schemas.openxmlformats.org/officeDocument/2006/relationships/hyperlink" Target="http://baike.baidu.com/view/169909.htm" TargetMode="External"/><Relationship Id="rId358" Type="http://schemas.openxmlformats.org/officeDocument/2006/relationships/image" Target="media/image142.wmf"/><Relationship Id="rId565" Type="http://schemas.openxmlformats.org/officeDocument/2006/relationships/image" Target="media/image226.wmf"/><Relationship Id="rId730" Type="http://schemas.openxmlformats.org/officeDocument/2006/relationships/oleObject" Target="embeddings/oleObject376.bin"/><Relationship Id="rId162" Type="http://schemas.openxmlformats.org/officeDocument/2006/relationships/image" Target="media/image53.wmf"/><Relationship Id="rId218" Type="http://schemas.openxmlformats.org/officeDocument/2006/relationships/oleObject" Target="embeddings/oleObject85.bin"/><Relationship Id="rId425" Type="http://schemas.openxmlformats.org/officeDocument/2006/relationships/oleObject" Target="embeddings/oleObject205.bin"/><Relationship Id="rId467" Type="http://schemas.openxmlformats.org/officeDocument/2006/relationships/image" Target="media/image184.wmf"/><Relationship Id="rId632" Type="http://schemas.openxmlformats.org/officeDocument/2006/relationships/image" Target="media/image256.wmf"/><Relationship Id="rId271" Type="http://schemas.openxmlformats.org/officeDocument/2006/relationships/image" Target="media/image101.wmf"/><Relationship Id="rId674" Type="http://schemas.openxmlformats.org/officeDocument/2006/relationships/oleObject" Target="embeddings/oleObject348.bin"/><Relationship Id="rId24" Type="http://schemas.openxmlformats.org/officeDocument/2006/relationships/hyperlink" Target="http://bank.hexun.com/card/" TargetMode="External"/><Relationship Id="rId66" Type="http://schemas.openxmlformats.org/officeDocument/2006/relationships/oleObject" Target="embeddings/oleObject15.bin"/><Relationship Id="rId131" Type="http://schemas.openxmlformats.org/officeDocument/2006/relationships/oleObject" Target="embeddings/oleObject38.bin"/><Relationship Id="rId327" Type="http://schemas.openxmlformats.org/officeDocument/2006/relationships/image" Target="media/image128.wmf"/><Relationship Id="rId369" Type="http://schemas.openxmlformats.org/officeDocument/2006/relationships/oleObject" Target="embeddings/oleObject167.bin"/><Relationship Id="rId534" Type="http://schemas.openxmlformats.org/officeDocument/2006/relationships/oleObject" Target="embeddings/oleObject268.bin"/><Relationship Id="rId576" Type="http://schemas.openxmlformats.org/officeDocument/2006/relationships/oleObject" Target="embeddings/oleObject290.bin"/><Relationship Id="rId741" Type="http://schemas.openxmlformats.org/officeDocument/2006/relationships/image" Target="media/image305.wmf"/><Relationship Id="rId173" Type="http://schemas.openxmlformats.org/officeDocument/2006/relationships/image" Target="media/image58.wmf"/><Relationship Id="rId229" Type="http://schemas.openxmlformats.org/officeDocument/2006/relationships/oleObject" Target="embeddings/oleObject91.bin"/><Relationship Id="rId380" Type="http://schemas.openxmlformats.org/officeDocument/2006/relationships/image" Target="media/image151.wmf"/><Relationship Id="rId436" Type="http://schemas.openxmlformats.org/officeDocument/2006/relationships/image" Target="media/image170.wmf"/><Relationship Id="rId601" Type="http://schemas.openxmlformats.org/officeDocument/2006/relationships/image" Target="media/image243.wmf"/><Relationship Id="rId643" Type="http://schemas.openxmlformats.org/officeDocument/2006/relationships/oleObject" Target="embeddings/oleObject329.bin"/><Relationship Id="rId240" Type="http://schemas.openxmlformats.org/officeDocument/2006/relationships/oleObject" Target="embeddings/oleObject97.bin"/><Relationship Id="rId478" Type="http://schemas.openxmlformats.org/officeDocument/2006/relationships/oleObject" Target="embeddings/oleObject234.bin"/><Relationship Id="rId685" Type="http://schemas.openxmlformats.org/officeDocument/2006/relationships/image" Target="media/image277.wmf"/><Relationship Id="rId35" Type="http://schemas.openxmlformats.org/officeDocument/2006/relationships/hyperlink" Target="http://baike.baidu.com/view/3692.htm" TargetMode="External"/><Relationship Id="rId77" Type="http://schemas.openxmlformats.org/officeDocument/2006/relationships/image" Target="media/image21.wmf"/><Relationship Id="rId100" Type="http://schemas.openxmlformats.org/officeDocument/2006/relationships/oleObject" Target="embeddings/oleObject32.bin"/><Relationship Id="rId282" Type="http://schemas.openxmlformats.org/officeDocument/2006/relationships/oleObject" Target="embeddings/oleObject121.bin"/><Relationship Id="rId338" Type="http://schemas.openxmlformats.org/officeDocument/2006/relationships/image" Target="media/image132.wmf"/><Relationship Id="rId503" Type="http://schemas.openxmlformats.org/officeDocument/2006/relationships/image" Target="media/image202.wmf"/><Relationship Id="rId545" Type="http://schemas.openxmlformats.org/officeDocument/2006/relationships/image" Target="media/image217.wmf"/><Relationship Id="rId587" Type="http://schemas.openxmlformats.org/officeDocument/2006/relationships/image" Target="media/image237.wmf"/><Relationship Id="rId710" Type="http://schemas.openxmlformats.org/officeDocument/2006/relationships/oleObject" Target="embeddings/oleObject366.bin"/><Relationship Id="rId752" Type="http://schemas.openxmlformats.org/officeDocument/2006/relationships/hyperlink" Target="http://netec.wustl.edu/EconFAQ/EconFAQ.html" TargetMode="External"/><Relationship Id="rId8" Type="http://schemas.openxmlformats.org/officeDocument/2006/relationships/image" Target="media/image1.jpeg"/><Relationship Id="rId142" Type="http://schemas.openxmlformats.org/officeDocument/2006/relationships/oleObject" Target="embeddings/oleObject44.bin"/><Relationship Id="rId184" Type="http://schemas.openxmlformats.org/officeDocument/2006/relationships/image" Target="media/image63.wmf"/><Relationship Id="rId391" Type="http://schemas.openxmlformats.org/officeDocument/2006/relationships/oleObject" Target="embeddings/oleObject182.bin"/><Relationship Id="rId405" Type="http://schemas.openxmlformats.org/officeDocument/2006/relationships/oleObject" Target="embeddings/oleObject192.bin"/><Relationship Id="rId447" Type="http://schemas.openxmlformats.org/officeDocument/2006/relationships/oleObject" Target="embeddings/oleObject218.bin"/><Relationship Id="rId612" Type="http://schemas.openxmlformats.org/officeDocument/2006/relationships/oleObject" Target="embeddings/oleObject310.bin"/><Relationship Id="rId251" Type="http://schemas.openxmlformats.org/officeDocument/2006/relationships/oleObject" Target="embeddings/oleObject105.bin"/><Relationship Id="rId489" Type="http://schemas.openxmlformats.org/officeDocument/2006/relationships/image" Target="media/image195.wmf"/><Relationship Id="rId654" Type="http://schemas.openxmlformats.org/officeDocument/2006/relationships/image" Target="media/image264.wmf"/><Relationship Id="rId696" Type="http://schemas.openxmlformats.org/officeDocument/2006/relationships/oleObject" Target="embeddings/oleObject359.bin"/><Relationship Id="rId46" Type="http://schemas.openxmlformats.org/officeDocument/2006/relationships/oleObject" Target="embeddings/oleObject4.bin"/><Relationship Id="rId293" Type="http://schemas.openxmlformats.org/officeDocument/2006/relationships/image" Target="media/image112.wmf"/><Relationship Id="rId307" Type="http://schemas.openxmlformats.org/officeDocument/2006/relationships/image" Target="media/image119.wmf"/><Relationship Id="rId349" Type="http://schemas.openxmlformats.org/officeDocument/2006/relationships/oleObject" Target="embeddings/oleObject157.bin"/><Relationship Id="rId514" Type="http://schemas.openxmlformats.org/officeDocument/2006/relationships/oleObject" Target="embeddings/oleObject253.bin"/><Relationship Id="rId556" Type="http://schemas.openxmlformats.org/officeDocument/2006/relationships/oleObject" Target="embeddings/oleObject279.bin"/><Relationship Id="rId721" Type="http://schemas.openxmlformats.org/officeDocument/2006/relationships/image" Target="media/image295.wmf"/><Relationship Id="rId88" Type="http://schemas.openxmlformats.org/officeDocument/2006/relationships/oleObject" Target="embeddings/oleObject26.bin"/><Relationship Id="rId111" Type="http://schemas.openxmlformats.org/officeDocument/2006/relationships/hyperlink" Target="http://baike.baidu.com/view/474958.htm" TargetMode="External"/><Relationship Id="rId153" Type="http://schemas.openxmlformats.org/officeDocument/2006/relationships/image" Target="media/image49.wmf"/><Relationship Id="rId195" Type="http://schemas.openxmlformats.org/officeDocument/2006/relationships/oleObject" Target="embeddings/oleObject72.bin"/><Relationship Id="rId209" Type="http://schemas.openxmlformats.org/officeDocument/2006/relationships/oleObject" Target="embeddings/oleObject80.bin"/><Relationship Id="rId360" Type="http://schemas.openxmlformats.org/officeDocument/2006/relationships/image" Target="media/image143.wmf"/><Relationship Id="rId416" Type="http://schemas.openxmlformats.org/officeDocument/2006/relationships/oleObject" Target="embeddings/oleObject200.bin"/><Relationship Id="rId598" Type="http://schemas.openxmlformats.org/officeDocument/2006/relationships/image" Target="media/image242.wmf"/><Relationship Id="rId220" Type="http://schemas.openxmlformats.org/officeDocument/2006/relationships/oleObject" Target="embeddings/oleObject86.bin"/><Relationship Id="rId458" Type="http://schemas.openxmlformats.org/officeDocument/2006/relationships/oleObject" Target="embeddings/oleObject224.bin"/><Relationship Id="rId623" Type="http://schemas.openxmlformats.org/officeDocument/2006/relationships/oleObject" Target="embeddings/oleObject317.bin"/><Relationship Id="rId665" Type="http://schemas.openxmlformats.org/officeDocument/2006/relationships/oleObject" Target="embeddings/oleObject343.bin"/><Relationship Id="rId15" Type="http://schemas.openxmlformats.org/officeDocument/2006/relationships/hyperlink" Target="http://jingzhi.funds.hexun.com/160636.shtml" TargetMode="External"/><Relationship Id="rId57" Type="http://schemas.openxmlformats.org/officeDocument/2006/relationships/oleObject" Target="embeddings/oleObject10.bin"/><Relationship Id="rId262" Type="http://schemas.openxmlformats.org/officeDocument/2006/relationships/oleObject" Target="embeddings/oleObject111.bin"/><Relationship Id="rId318" Type="http://schemas.openxmlformats.org/officeDocument/2006/relationships/oleObject" Target="embeddings/oleObject140.bin"/><Relationship Id="rId525" Type="http://schemas.openxmlformats.org/officeDocument/2006/relationships/image" Target="media/image211.wmf"/><Relationship Id="rId567" Type="http://schemas.openxmlformats.org/officeDocument/2006/relationships/image" Target="media/image227.wmf"/><Relationship Id="rId732" Type="http://schemas.openxmlformats.org/officeDocument/2006/relationships/oleObject" Target="embeddings/oleObject377.bin"/><Relationship Id="rId99" Type="http://schemas.openxmlformats.org/officeDocument/2006/relationships/image" Target="media/image32.wmf"/><Relationship Id="rId122" Type="http://schemas.openxmlformats.org/officeDocument/2006/relationships/hyperlink" Target="http://baike.baidu.com/view/136773.htm" TargetMode="External"/><Relationship Id="rId164" Type="http://schemas.openxmlformats.org/officeDocument/2006/relationships/image" Target="media/image54.wmf"/><Relationship Id="rId371" Type="http://schemas.openxmlformats.org/officeDocument/2006/relationships/image" Target="media/image148.wmf"/><Relationship Id="rId427" Type="http://schemas.openxmlformats.org/officeDocument/2006/relationships/oleObject" Target="embeddings/oleObject206.bin"/><Relationship Id="rId469" Type="http://schemas.openxmlformats.org/officeDocument/2006/relationships/image" Target="media/image185.wmf"/><Relationship Id="rId634" Type="http://schemas.openxmlformats.org/officeDocument/2006/relationships/image" Target="media/image257.wmf"/><Relationship Id="rId676" Type="http://schemas.openxmlformats.org/officeDocument/2006/relationships/oleObject" Target="embeddings/oleObject349.bin"/><Relationship Id="rId26" Type="http://schemas.openxmlformats.org/officeDocument/2006/relationships/hyperlink" Target="http://news.hexun.com/philippines/index.html" TargetMode="External"/><Relationship Id="rId231" Type="http://schemas.openxmlformats.org/officeDocument/2006/relationships/oleObject" Target="embeddings/oleObject92.bin"/><Relationship Id="rId273" Type="http://schemas.openxmlformats.org/officeDocument/2006/relationships/image" Target="media/image102.wmf"/><Relationship Id="rId329" Type="http://schemas.openxmlformats.org/officeDocument/2006/relationships/image" Target="media/image129.wmf"/><Relationship Id="rId480" Type="http://schemas.openxmlformats.org/officeDocument/2006/relationships/oleObject" Target="embeddings/oleObject235.bin"/><Relationship Id="rId536" Type="http://schemas.openxmlformats.org/officeDocument/2006/relationships/oleObject" Target="embeddings/oleObject269.bin"/><Relationship Id="rId701" Type="http://schemas.openxmlformats.org/officeDocument/2006/relationships/image" Target="media/image285.wmf"/><Relationship Id="rId68" Type="http://schemas.openxmlformats.org/officeDocument/2006/relationships/oleObject" Target="embeddings/oleObject16.bin"/><Relationship Id="rId133" Type="http://schemas.openxmlformats.org/officeDocument/2006/relationships/oleObject" Target="embeddings/oleObject39.bin"/><Relationship Id="rId175" Type="http://schemas.openxmlformats.org/officeDocument/2006/relationships/oleObject" Target="embeddings/oleObject62.bin"/><Relationship Id="rId340" Type="http://schemas.openxmlformats.org/officeDocument/2006/relationships/image" Target="media/image133.wmf"/><Relationship Id="rId578" Type="http://schemas.openxmlformats.org/officeDocument/2006/relationships/oleObject" Target="embeddings/oleObject291.bin"/><Relationship Id="rId743" Type="http://schemas.openxmlformats.org/officeDocument/2006/relationships/hyperlink" Target="http://www.amazon.cn/%E5%9B%BD%E5%AF%8C%E8%AE%BA-%E4%BA%9A%E5%BD%93%E2%80%A2%E6%96%AF%E5%AF%86/dp/B001WAK106/ref=sr_1_60?s=books&amp;ie=UTF8&amp;qid=1412059908&amp;sr=1-60" TargetMode="External"/><Relationship Id="rId200" Type="http://schemas.openxmlformats.org/officeDocument/2006/relationships/oleObject" Target="embeddings/oleObject75.bin"/><Relationship Id="rId382" Type="http://schemas.openxmlformats.org/officeDocument/2006/relationships/image" Target="media/image152.wmf"/><Relationship Id="rId438" Type="http://schemas.openxmlformats.org/officeDocument/2006/relationships/image" Target="media/image171.wmf"/><Relationship Id="rId603" Type="http://schemas.openxmlformats.org/officeDocument/2006/relationships/oleObject" Target="embeddings/oleObject305.bin"/><Relationship Id="rId645" Type="http://schemas.openxmlformats.org/officeDocument/2006/relationships/image" Target="media/image260.wmf"/><Relationship Id="rId687" Type="http://schemas.openxmlformats.org/officeDocument/2006/relationships/image" Target="media/image278.wmf"/><Relationship Id="rId242" Type="http://schemas.openxmlformats.org/officeDocument/2006/relationships/oleObject" Target="embeddings/oleObject98.bin"/><Relationship Id="rId284" Type="http://schemas.openxmlformats.org/officeDocument/2006/relationships/oleObject" Target="embeddings/oleObject122.bin"/><Relationship Id="rId491" Type="http://schemas.openxmlformats.org/officeDocument/2006/relationships/image" Target="media/image196.wmf"/><Relationship Id="rId505" Type="http://schemas.openxmlformats.org/officeDocument/2006/relationships/image" Target="media/image203.wmf"/><Relationship Id="rId712" Type="http://schemas.openxmlformats.org/officeDocument/2006/relationships/oleObject" Target="embeddings/oleObject367.bin"/><Relationship Id="rId37" Type="http://schemas.openxmlformats.org/officeDocument/2006/relationships/hyperlink" Target="http://baike.baidu.com/view/6323.htm" TargetMode="External"/><Relationship Id="rId79" Type="http://schemas.openxmlformats.org/officeDocument/2006/relationships/image" Target="media/image22.wmf"/><Relationship Id="rId102" Type="http://schemas.openxmlformats.org/officeDocument/2006/relationships/oleObject" Target="embeddings/oleObject33.bin"/><Relationship Id="rId144" Type="http://schemas.openxmlformats.org/officeDocument/2006/relationships/oleObject" Target="embeddings/oleObject45.bin"/><Relationship Id="rId547" Type="http://schemas.openxmlformats.org/officeDocument/2006/relationships/image" Target="media/image218.wmf"/><Relationship Id="rId589" Type="http://schemas.openxmlformats.org/officeDocument/2006/relationships/oleObject" Target="embeddings/oleObject297.bin"/><Relationship Id="rId754" Type="http://schemas.openxmlformats.org/officeDocument/2006/relationships/header" Target="header2.xml"/><Relationship Id="rId90" Type="http://schemas.openxmlformats.org/officeDocument/2006/relationships/oleObject" Target="embeddings/oleObject27.bin"/><Relationship Id="rId186" Type="http://schemas.openxmlformats.org/officeDocument/2006/relationships/image" Target="media/image64.wmf"/><Relationship Id="rId351" Type="http://schemas.openxmlformats.org/officeDocument/2006/relationships/oleObject" Target="embeddings/oleObject158.bin"/><Relationship Id="rId393" Type="http://schemas.openxmlformats.org/officeDocument/2006/relationships/oleObject" Target="embeddings/oleObject184.bin"/><Relationship Id="rId407" Type="http://schemas.openxmlformats.org/officeDocument/2006/relationships/oleObject" Target="embeddings/oleObject194.bin"/><Relationship Id="rId449" Type="http://schemas.openxmlformats.org/officeDocument/2006/relationships/oleObject" Target="embeddings/oleObject219.bin"/><Relationship Id="rId614" Type="http://schemas.openxmlformats.org/officeDocument/2006/relationships/oleObject" Target="embeddings/oleObject311.bin"/><Relationship Id="rId656" Type="http://schemas.openxmlformats.org/officeDocument/2006/relationships/image" Target="media/image265.wmf"/><Relationship Id="rId211" Type="http://schemas.openxmlformats.org/officeDocument/2006/relationships/image" Target="media/image75.wmf"/><Relationship Id="rId253" Type="http://schemas.openxmlformats.org/officeDocument/2006/relationships/oleObject" Target="embeddings/oleObject106.bin"/><Relationship Id="rId295" Type="http://schemas.openxmlformats.org/officeDocument/2006/relationships/image" Target="media/image113.wmf"/><Relationship Id="rId309" Type="http://schemas.openxmlformats.org/officeDocument/2006/relationships/image" Target="media/image120.wmf"/><Relationship Id="rId460" Type="http://schemas.openxmlformats.org/officeDocument/2006/relationships/oleObject" Target="embeddings/oleObject225.bin"/><Relationship Id="rId516" Type="http://schemas.openxmlformats.org/officeDocument/2006/relationships/oleObject" Target="embeddings/oleObject254.bin"/><Relationship Id="rId698" Type="http://schemas.openxmlformats.org/officeDocument/2006/relationships/oleObject" Target="embeddings/oleObject360.bin"/><Relationship Id="rId48" Type="http://schemas.openxmlformats.org/officeDocument/2006/relationships/oleObject" Target="embeddings/oleObject5.bin"/><Relationship Id="rId113" Type="http://schemas.openxmlformats.org/officeDocument/2006/relationships/hyperlink" Target="http://baike.baidu.com/view/1077634.htm" TargetMode="External"/><Relationship Id="rId320" Type="http://schemas.openxmlformats.org/officeDocument/2006/relationships/oleObject" Target="embeddings/oleObject141.bin"/><Relationship Id="rId558" Type="http://schemas.openxmlformats.org/officeDocument/2006/relationships/oleObject" Target="embeddings/oleObject280.bin"/><Relationship Id="rId723" Type="http://schemas.openxmlformats.org/officeDocument/2006/relationships/image" Target="media/image296.wmf"/><Relationship Id="rId155" Type="http://schemas.openxmlformats.org/officeDocument/2006/relationships/image" Target="media/image50.wmf"/><Relationship Id="rId197" Type="http://schemas.openxmlformats.org/officeDocument/2006/relationships/oleObject" Target="embeddings/oleObject73.bin"/><Relationship Id="rId362" Type="http://schemas.openxmlformats.org/officeDocument/2006/relationships/image" Target="media/image144.wmf"/><Relationship Id="rId418" Type="http://schemas.openxmlformats.org/officeDocument/2006/relationships/oleObject" Target="embeddings/oleObject201.bin"/><Relationship Id="rId625" Type="http://schemas.openxmlformats.org/officeDocument/2006/relationships/oleObject" Target="embeddings/oleObject318.bin"/><Relationship Id="rId222" Type="http://schemas.openxmlformats.org/officeDocument/2006/relationships/image" Target="media/image80.wmf"/><Relationship Id="rId264" Type="http://schemas.openxmlformats.org/officeDocument/2006/relationships/oleObject" Target="embeddings/oleObject112.bin"/><Relationship Id="rId471" Type="http://schemas.openxmlformats.org/officeDocument/2006/relationships/image" Target="media/image186.wmf"/><Relationship Id="rId667" Type="http://schemas.openxmlformats.org/officeDocument/2006/relationships/image" Target="media/image268.wmf"/><Relationship Id="rId17" Type="http://schemas.openxmlformats.org/officeDocument/2006/relationships/hyperlink" Target="http://stockdata.stock.hexun.com/dzjy/" TargetMode="External"/><Relationship Id="rId59" Type="http://schemas.openxmlformats.org/officeDocument/2006/relationships/oleObject" Target="embeddings/oleObject11.bin"/><Relationship Id="rId124" Type="http://schemas.openxmlformats.org/officeDocument/2006/relationships/hyperlink" Target="http://baike.baidu.com/view/92523.htm" TargetMode="External"/><Relationship Id="rId527" Type="http://schemas.openxmlformats.org/officeDocument/2006/relationships/oleObject" Target="embeddings/oleObject261.bin"/><Relationship Id="rId569" Type="http://schemas.openxmlformats.org/officeDocument/2006/relationships/image" Target="media/image228.wmf"/><Relationship Id="rId734" Type="http://schemas.openxmlformats.org/officeDocument/2006/relationships/oleObject" Target="embeddings/oleObject378.bin"/><Relationship Id="rId70" Type="http://schemas.openxmlformats.org/officeDocument/2006/relationships/oleObject" Target="embeddings/oleObject17.bin"/><Relationship Id="rId166" Type="http://schemas.openxmlformats.org/officeDocument/2006/relationships/image" Target="media/image55.wmf"/><Relationship Id="rId331" Type="http://schemas.openxmlformats.org/officeDocument/2006/relationships/image" Target="media/image130.wmf"/><Relationship Id="rId373" Type="http://schemas.openxmlformats.org/officeDocument/2006/relationships/image" Target="media/image149.wmf"/><Relationship Id="rId429" Type="http://schemas.openxmlformats.org/officeDocument/2006/relationships/oleObject" Target="embeddings/oleObject207.bin"/><Relationship Id="rId580" Type="http://schemas.openxmlformats.org/officeDocument/2006/relationships/oleObject" Target="embeddings/oleObject292.bin"/><Relationship Id="rId636" Type="http://schemas.openxmlformats.org/officeDocument/2006/relationships/image" Target="media/image258.wmf"/><Relationship Id="rId1" Type="http://schemas.openxmlformats.org/officeDocument/2006/relationships/customXml" Target="../customXml/item1.xml"/><Relationship Id="rId233" Type="http://schemas.openxmlformats.org/officeDocument/2006/relationships/oleObject" Target="embeddings/oleObject93.bin"/><Relationship Id="rId440" Type="http://schemas.openxmlformats.org/officeDocument/2006/relationships/image" Target="media/image172.wmf"/><Relationship Id="rId678" Type="http://schemas.openxmlformats.org/officeDocument/2006/relationships/oleObject" Target="embeddings/oleObject350.bin"/><Relationship Id="rId28" Type="http://schemas.openxmlformats.org/officeDocument/2006/relationships/hyperlink" Target="http://baike.baidu.com/view/108174.htm" TargetMode="External"/><Relationship Id="rId275" Type="http://schemas.openxmlformats.org/officeDocument/2006/relationships/image" Target="media/image103.wmf"/><Relationship Id="rId300" Type="http://schemas.openxmlformats.org/officeDocument/2006/relationships/oleObject" Target="embeddings/oleObject130.bin"/><Relationship Id="rId482" Type="http://schemas.openxmlformats.org/officeDocument/2006/relationships/oleObject" Target="embeddings/oleObject236.bin"/><Relationship Id="rId538" Type="http://schemas.openxmlformats.org/officeDocument/2006/relationships/oleObject" Target="embeddings/oleObject270.bin"/><Relationship Id="rId703" Type="http://schemas.openxmlformats.org/officeDocument/2006/relationships/image" Target="media/image286.wmf"/><Relationship Id="rId745" Type="http://schemas.openxmlformats.org/officeDocument/2006/relationships/hyperlink" Target="http://www.amazon.cn/s/ref=dp_byline_sr_book_1?ie=UTF8&amp;field-author=%E5%88%98%E8%88%92%E5%B9%B4&amp;search-alias=books" TargetMode="External"/><Relationship Id="rId81" Type="http://schemas.openxmlformats.org/officeDocument/2006/relationships/image" Target="media/image23.wmf"/><Relationship Id="rId135" Type="http://schemas.openxmlformats.org/officeDocument/2006/relationships/oleObject" Target="embeddings/oleObject40.bin"/><Relationship Id="rId177" Type="http://schemas.openxmlformats.org/officeDocument/2006/relationships/oleObject" Target="embeddings/oleObject63.bin"/><Relationship Id="rId342" Type="http://schemas.openxmlformats.org/officeDocument/2006/relationships/image" Target="media/image134.wmf"/><Relationship Id="rId384" Type="http://schemas.openxmlformats.org/officeDocument/2006/relationships/oleObject" Target="embeddings/oleObject177.bin"/><Relationship Id="rId591" Type="http://schemas.openxmlformats.org/officeDocument/2006/relationships/oleObject" Target="embeddings/oleObject298.bin"/><Relationship Id="rId605" Type="http://schemas.openxmlformats.org/officeDocument/2006/relationships/image" Target="media/image244.wmf"/><Relationship Id="rId202" Type="http://schemas.openxmlformats.org/officeDocument/2006/relationships/oleObject" Target="embeddings/oleObject76.bin"/><Relationship Id="rId244" Type="http://schemas.openxmlformats.org/officeDocument/2006/relationships/oleObject" Target="embeddings/oleObject100.bin"/><Relationship Id="rId647" Type="http://schemas.openxmlformats.org/officeDocument/2006/relationships/image" Target="media/image261.wmf"/><Relationship Id="rId689" Type="http://schemas.openxmlformats.org/officeDocument/2006/relationships/image" Target="media/image279.wmf"/><Relationship Id="rId39" Type="http://schemas.openxmlformats.org/officeDocument/2006/relationships/image" Target="media/image3.wmf"/><Relationship Id="rId286" Type="http://schemas.openxmlformats.org/officeDocument/2006/relationships/oleObject" Target="embeddings/oleObject123.bin"/><Relationship Id="rId451" Type="http://schemas.openxmlformats.org/officeDocument/2006/relationships/image" Target="media/image176.wmf"/><Relationship Id="rId493" Type="http://schemas.openxmlformats.org/officeDocument/2006/relationships/image" Target="media/image197.wmf"/><Relationship Id="rId507" Type="http://schemas.openxmlformats.org/officeDocument/2006/relationships/image" Target="media/image204.wmf"/><Relationship Id="rId549" Type="http://schemas.openxmlformats.org/officeDocument/2006/relationships/image" Target="media/image219.wmf"/><Relationship Id="rId714" Type="http://schemas.openxmlformats.org/officeDocument/2006/relationships/oleObject" Target="embeddings/oleObject368.bin"/><Relationship Id="rId756" Type="http://schemas.openxmlformats.org/officeDocument/2006/relationships/footer" Target="footer1.xml"/><Relationship Id="rId50" Type="http://schemas.openxmlformats.org/officeDocument/2006/relationships/oleObject" Target="embeddings/oleObject6.bin"/><Relationship Id="rId104" Type="http://schemas.openxmlformats.org/officeDocument/2006/relationships/oleObject" Target="embeddings/oleObject34.bin"/><Relationship Id="rId146" Type="http://schemas.openxmlformats.org/officeDocument/2006/relationships/oleObject" Target="embeddings/oleObject46.bin"/><Relationship Id="rId188" Type="http://schemas.openxmlformats.org/officeDocument/2006/relationships/image" Target="media/image65.wmf"/><Relationship Id="rId311" Type="http://schemas.openxmlformats.org/officeDocument/2006/relationships/image" Target="media/image121.wmf"/><Relationship Id="rId353" Type="http://schemas.openxmlformats.org/officeDocument/2006/relationships/oleObject" Target="embeddings/oleObject159.bin"/><Relationship Id="rId395" Type="http://schemas.openxmlformats.org/officeDocument/2006/relationships/image" Target="media/image155.wmf"/><Relationship Id="rId409" Type="http://schemas.openxmlformats.org/officeDocument/2006/relationships/oleObject" Target="embeddings/oleObject196.bin"/><Relationship Id="rId560" Type="http://schemas.openxmlformats.org/officeDocument/2006/relationships/oleObject" Target="embeddings/oleObject282.bin"/><Relationship Id="rId92" Type="http://schemas.openxmlformats.org/officeDocument/2006/relationships/oleObject" Target="embeddings/oleObject28.bin"/><Relationship Id="rId213" Type="http://schemas.openxmlformats.org/officeDocument/2006/relationships/image" Target="media/image76.wmf"/><Relationship Id="rId420" Type="http://schemas.openxmlformats.org/officeDocument/2006/relationships/image" Target="media/image163.wmf"/><Relationship Id="rId616" Type="http://schemas.openxmlformats.org/officeDocument/2006/relationships/oleObject" Target="embeddings/oleObject312.bin"/><Relationship Id="rId658" Type="http://schemas.openxmlformats.org/officeDocument/2006/relationships/oleObject" Target="embeddings/oleObject338.bin"/><Relationship Id="rId255" Type="http://schemas.openxmlformats.org/officeDocument/2006/relationships/oleObject" Target="embeddings/oleObject107.bin"/><Relationship Id="rId297" Type="http://schemas.openxmlformats.org/officeDocument/2006/relationships/image" Target="media/image114.wmf"/><Relationship Id="rId462" Type="http://schemas.openxmlformats.org/officeDocument/2006/relationships/oleObject" Target="embeddings/oleObject226.bin"/><Relationship Id="rId518" Type="http://schemas.openxmlformats.org/officeDocument/2006/relationships/oleObject" Target="embeddings/oleObject256.bin"/><Relationship Id="rId725" Type="http://schemas.openxmlformats.org/officeDocument/2006/relationships/image" Target="media/image297.wmf"/><Relationship Id="rId115" Type="http://schemas.openxmlformats.org/officeDocument/2006/relationships/hyperlink" Target="http://baike.baidu.com/view/2123059.htm" TargetMode="External"/><Relationship Id="rId157" Type="http://schemas.openxmlformats.org/officeDocument/2006/relationships/oleObject" Target="embeddings/oleObject52.bin"/><Relationship Id="rId322" Type="http://schemas.openxmlformats.org/officeDocument/2006/relationships/oleObject" Target="embeddings/oleObject142.bin"/><Relationship Id="rId364" Type="http://schemas.openxmlformats.org/officeDocument/2006/relationships/image" Target="media/image145.wmf"/><Relationship Id="rId61" Type="http://schemas.openxmlformats.org/officeDocument/2006/relationships/oleObject" Target="embeddings/oleObject12.bin"/><Relationship Id="rId199" Type="http://schemas.openxmlformats.org/officeDocument/2006/relationships/image" Target="media/image70.wmf"/><Relationship Id="rId571" Type="http://schemas.openxmlformats.org/officeDocument/2006/relationships/image" Target="media/image229.wmf"/><Relationship Id="rId627" Type="http://schemas.openxmlformats.org/officeDocument/2006/relationships/oleObject" Target="embeddings/oleObject319.bin"/><Relationship Id="rId669" Type="http://schemas.openxmlformats.org/officeDocument/2006/relationships/image" Target="media/image269.wmf"/><Relationship Id="rId19" Type="http://schemas.openxmlformats.org/officeDocument/2006/relationships/hyperlink" Target="http://renwu.hexun.com/figure_614.shtml" TargetMode="External"/><Relationship Id="rId224" Type="http://schemas.openxmlformats.org/officeDocument/2006/relationships/image" Target="media/image81.wmf"/><Relationship Id="rId266" Type="http://schemas.openxmlformats.org/officeDocument/2006/relationships/oleObject" Target="embeddings/oleObject113.bin"/><Relationship Id="rId431" Type="http://schemas.openxmlformats.org/officeDocument/2006/relationships/oleObject" Target="embeddings/oleObject208.bin"/><Relationship Id="rId473" Type="http://schemas.openxmlformats.org/officeDocument/2006/relationships/image" Target="media/image187.wmf"/><Relationship Id="rId529" Type="http://schemas.openxmlformats.org/officeDocument/2006/relationships/oleObject" Target="embeddings/oleObject263.bin"/><Relationship Id="rId680" Type="http://schemas.openxmlformats.org/officeDocument/2006/relationships/oleObject" Target="embeddings/oleObject351.bin"/><Relationship Id="rId736" Type="http://schemas.openxmlformats.org/officeDocument/2006/relationships/oleObject" Target="embeddings/oleObject379.bin"/><Relationship Id="rId30" Type="http://schemas.openxmlformats.org/officeDocument/2006/relationships/hyperlink" Target="http://baike.baidu.com/view/42906.htm" TargetMode="External"/><Relationship Id="rId126" Type="http://schemas.openxmlformats.org/officeDocument/2006/relationships/image" Target="media/image36.wmf"/><Relationship Id="rId168" Type="http://schemas.openxmlformats.org/officeDocument/2006/relationships/oleObject" Target="embeddings/oleObject58.bin"/><Relationship Id="rId333" Type="http://schemas.openxmlformats.org/officeDocument/2006/relationships/image" Target="media/image131.wmf"/><Relationship Id="rId540" Type="http://schemas.openxmlformats.org/officeDocument/2006/relationships/oleObject" Target="embeddings/oleObject271.bin"/><Relationship Id="rId72" Type="http://schemas.openxmlformats.org/officeDocument/2006/relationships/oleObject" Target="embeddings/oleObject18.bin"/><Relationship Id="rId375" Type="http://schemas.openxmlformats.org/officeDocument/2006/relationships/image" Target="media/image150.wmf"/><Relationship Id="rId582" Type="http://schemas.openxmlformats.org/officeDocument/2006/relationships/oleObject" Target="embeddings/oleObject293.bin"/><Relationship Id="rId638" Type="http://schemas.openxmlformats.org/officeDocument/2006/relationships/image" Target="media/image259.wmf"/><Relationship Id="rId3" Type="http://schemas.openxmlformats.org/officeDocument/2006/relationships/styles" Target="styles.xml"/><Relationship Id="rId235" Type="http://schemas.openxmlformats.org/officeDocument/2006/relationships/image" Target="media/image86.wmf"/><Relationship Id="rId277" Type="http://schemas.openxmlformats.org/officeDocument/2006/relationships/image" Target="media/image104.wmf"/><Relationship Id="rId400" Type="http://schemas.openxmlformats.org/officeDocument/2006/relationships/oleObject" Target="embeddings/oleObject189.bin"/><Relationship Id="rId442" Type="http://schemas.openxmlformats.org/officeDocument/2006/relationships/image" Target="media/image173.wmf"/><Relationship Id="rId484" Type="http://schemas.openxmlformats.org/officeDocument/2006/relationships/oleObject" Target="embeddings/oleObject237.bin"/><Relationship Id="rId705" Type="http://schemas.openxmlformats.org/officeDocument/2006/relationships/image" Target="media/image287.wmf"/><Relationship Id="rId137" Type="http://schemas.openxmlformats.org/officeDocument/2006/relationships/oleObject" Target="embeddings/oleObject41.bin"/><Relationship Id="rId302" Type="http://schemas.openxmlformats.org/officeDocument/2006/relationships/oleObject" Target="embeddings/oleObject131.bin"/><Relationship Id="rId344" Type="http://schemas.openxmlformats.org/officeDocument/2006/relationships/image" Target="media/image135.wmf"/><Relationship Id="rId691" Type="http://schemas.openxmlformats.org/officeDocument/2006/relationships/image" Target="media/image280.wmf"/><Relationship Id="rId747" Type="http://schemas.openxmlformats.org/officeDocument/2006/relationships/hyperlink" Target="http://book.jd.com/writer/%E6%BB%8B%E7%BB%B4%C2%B7%E5%8D%9A%E8%BF%AA_1.html" TargetMode="External"/><Relationship Id="rId41" Type="http://schemas.openxmlformats.org/officeDocument/2006/relationships/image" Target="media/image4.wmf"/><Relationship Id="rId83" Type="http://schemas.openxmlformats.org/officeDocument/2006/relationships/image" Target="media/image24.wmf"/><Relationship Id="rId179" Type="http://schemas.openxmlformats.org/officeDocument/2006/relationships/oleObject" Target="embeddings/oleObject64.bin"/><Relationship Id="rId386" Type="http://schemas.openxmlformats.org/officeDocument/2006/relationships/image" Target="media/image153.wmf"/><Relationship Id="rId551" Type="http://schemas.openxmlformats.org/officeDocument/2006/relationships/image" Target="media/image220.wmf"/><Relationship Id="rId593" Type="http://schemas.openxmlformats.org/officeDocument/2006/relationships/oleObject" Target="embeddings/oleObject299.bin"/><Relationship Id="rId607" Type="http://schemas.openxmlformats.org/officeDocument/2006/relationships/image" Target="media/image245.wmf"/><Relationship Id="rId649" Type="http://schemas.openxmlformats.org/officeDocument/2006/relationships/image" Target="media/image262.wmf"/><Relationship Id="rId190" Type="http://schemas.openxmlformats.org/officeDocument/2006/relationships/image" Target="media/image66.wmf"/><Relationship Id="rId204" Type="http://schemas.openxmlformats.org/officeDocument/2006/relationships/image" Target="media/image72.wmf"/><Relationship Id="rId246" Type="http://schemas.openxmlformats.org/officeDocument/2006/relationships/oleObject" Target="embeddings/oleObject102.bin"/><Relationship Id="rId288" Type="http://schemas.openxmlformats.org/officeDocument/2006/relationships/oleObject" Target="embeddings/oleObject124.bin"/><Relationship Id="rId411" Type="http://schemas.openxmlformats.org/officeDocument/2006/relationships/oleObject" Target="embeddings/oleObject197.bin"/><Relationship Id="rId453" Type="http://schemas.openxmlformats.org/officeDocument/2006/relationships/image" Target="media/image177.wmf"/><Relationship Id="rId509" Type="http://schemas.openxmlformats.org/officeDocument/2006/relationships/image" Target="media/image205.wmf"/><Relationship Id="rId660" Type="http://schemas.openxmlformats.org/officeDocument/2006/relationships/image" Target="media/image266.wmf"/><Relationship Id="rId106" Type="http://schemas.openxmlformats.org/officeDocument/2006/relationships/oleObject" Target="embeddings/oleObject35.bin"/><Relationship Id="rId313" Type="http://schemas.openxmlformats.org/officeDocument/2006/relationships/image" Target="media/image122.wmf"/><Relationship Id="rId495" Type="http://schemas.openxmlformats.org/officeDocument/2006/relationships/image" Target="media/image198.wmf"/><Relationship Id="rId716" Type="http://schemas.openxmlformats.org/officeDocument/2006/relationships/oleObject" Target="embeddings/oleObject369.bin"/><Relationship Id="rId758" Type="http://schemas.openxmlformats.org/officeDocument/2006/relationships/header" Target="header4.xml"/><Relationship Id="rId10" Type="http://schemas.openxmlformats.org/officeDocument/2006/relationships/header" Target="header1.xml"/><Relationship Id="rId52" Type="http://schemas.openxmlformats.org/officeDocument/2006/relationships/oleObject" Target="embeddings/oleObject7.bin"/><Relationship Id="rId94" Type="http://schemas.openxmlformats.org/officeDocument/2006/relationships/oleObject" Target="embeddings/oleObject29.bin"/><Relationship Id="rId148" Type="http://schemas.openxmlformats.org/officeDocument/2006/relationships/oleObject" Target="embeddings/oleObject47.bin"/><Relationship Id="rId355" Type="http://schemas.openxmlformats.org/officeDocument/2006/relationships/oleObject" Target="embeddings/oleObject160.bin"/><Relationship Id="rId397" Type="http://schemas.openxmlformats.org/officeDocument/2006/relationships/oleObject" Target="embeddings/oleObject187.bin"/><Relationship Id="rId520" Type="http://schemas.openxmlformats.org/officeDocument/2006/relationships/oleObject" Target="embeddings/oleObject257.bin"/><Relationship Id="rId562" Type="http://schemas.openxmlformats.org/officeDocument/2006/relationships/oleObject" Target="embeddings/oleObject283.bin"/><Relationship Id="rId618" Type="http://schemas.openxmlformats.org/officeDocument/2006/relationships/oleObject" Target="embeddings/oleObject313.bin"/></Relationships>
</file>

<file path=word/_rels/header3.xml.rels><?xml version="1.0" encoding="UTF-8" standalone="yes"?>
<Relationships xmlns="http://schemas.openxmlformats.org/package/2006/relationships"><Relationship Id="rId1" Type="http://schemas.openxmlformats.org/officeDocument/2006/relationships/image" Target="media/image30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7885AD-DACF-43D5-820F-19D266CC2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19963</Words>
  <Characters>113793</Characters>
  <Application>Microsoft Office Word</Application>
  <DocSecurity>0</DocSecurity>
  <Lines>948</Lines>
  <Paragraphs>266</Paragraphs>
  <ScaleCrop>false</ScaleCrop>
  <Company/>
  <LinksUpToDate>false</LinksUpToDate>
  <CharactersWithSpaces>133490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测试员</cp:lastModifiedBy>
  <cp:revision>17</cp:revision>
  <dcterms:created xsi:type="dcterms:W3CDTF">2017-02-07T13:30:00Z</dcterms:created>
  <dcterms:modified xsi:type="dcterms:W3CDTF">2017-03-03T07:36:00Z</dcterms:modified>
</cp:coreProperties>
</file>