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before="156" w:beforeLines="0" w:after="156" w:afterLines="0" w:line="480" w:lineRule="auto"/>
        <w:ind w:right="560"/>
        <w:jc w:val="center"/>
        <w:rPr>
          <w:rFonts w:hint="eastAsia" w:ascii="宋体" w:hAnsi="宋体"/>
          <w:b/>
          <w:color w:val="000000"/>
          <w:sz w:val="48"/>
          <w:szCs w:val="4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A6986E"/>
          <w:spacing w:val="0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-1139825</wp:posOffset>
            </wp:positionH>
            <wp:positionV relativeFrom="paragraph">
              <wp:posOffset>-906145</wp:posOffset>
            </wp:positionV>
            <wp:extent cx="7571105" cy="3877310"/>
            <wp:effectExtent l="0" t="0" r="10795" b="8890"/>
            <wp:wrapNone/>
            <wp:docPr id="1" name="图片 1" descr="3e036cebf532233677425ca458bb0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e036cebf532233677425ca458bb0c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before="156" w:beforeLines="0" w:after="156" w:afterLines="0" w:line="480" w:lineRule="auto"/>
        <w:ind w:right="560"/>
        <w:jc w:val="center"/>
        <w:rPr>
          <w:rFonts w:hint="eastAsia" w:ascii="宋体" w:hAnsi="宋体"/>
          <w:b/>
          <w:color w:val="000000"/>
          <w:sz w:val="48"/>
          <w:szCs w:val="48"/>
          <w:lang w:val="en-US" w:eastAsia="zh-CN"/>
        </w:rPr>
      </w:pPr>
    </w:p>
    <w:p>
      <w:pPr>
        <w:adjustRightInd w:val="0"/>
        <w:snapToGrid w:val="0"/>
        <w:spacing w:before="156" w:beforeLines="0" w:after="156" w:afterLines="0" w:line="480" w:lineRule="auto"/>
        <w:ind w:right="560"/>
        <w:jc w:val="center"/>
        <w:rPr>
          <w:rFonts w:hint="eastAsia" w:ascii="宋体" w:hAnsi="宋体"/>
          <w:b/>
          <w:color w:val="000000"/>
          <w:sz w:val="48"/>
          <w:szCs w:val="48"/>
          <w:lang w:val="en-US" w:eastAsia="zh-CN"/>
        </w:rPr>
      </w:pPr>
      <w:r>
        <w:rPr>
          <w:rFonts w:hint="eastAsia" w:ascii="宋体" w:hAnsi="宋体"/>
          <w:b/>
          <w:color w:val="000000"/>
          <w:sz w:val="48"/>
          <w:szCs w:val="48"/>
          <w:lang w:val="en-US" w:eastAsia="zh-CN"/>
        </w:rPr>
        <w:t xml:space="preserve"> </w:t>
      </w:r>
    </w:p>
    <w:p>
      <w:pPr>
        <w:adjustRightInd w:val="0"/>
        <w:snapToGrid w:val="0"/>
        <w:spacing w:before="156" w:beforeLines="0" w:after="156" w:afterLines="0" w:line="480" w:lineRule="auto"/>
        <w:ind w:right="560"/>
        <w:jc w:val="both"/>
        <w:rPr>
          <w:rFonts w:hint="eastAsia" w:ascii="宋体" w:hAnsi="宋体"/>
          <w:b/>
          <w:color w:val="000000"/>
          <w:sz w:val="32"/>
          <w:szCs w:val="32"/>
          <w:lang w:val="en-US" w:eastAsia="zh-CN"/>
        </w:rPr>
      </w:pPr>
    </w:p>
    <w:p>
      <w:pPr>
        <w:adjustRightInd w:val="0"/>
        <w:snapToGrid w:val="0"/>
        <w:spacing w:before="156" w:beforeLines="0" w:after="156" w:afterLines="0" w:line="480" w:lineRule="auto"/>
        <w:ind w:right="560"/>
        <w:jc w:val="center"/>
        <w:rPr>
          <w:rFonts w:hint="eastAsia" w:ascii="宋体" w:hAnsi="宋体" w:eastAsia="宋体"/>
          <w:b/>
          <w:bCs/>
          <w:color w:val="000000"/>
          <w:sz w:val="48"/>
          <w:szCs w:val="48"/>
          <w:lang w:val="en-US" w:eastAsia="zh-CN"/>
        </w:rPr>
      </w:pPr>
      <w:r>
        <w:rPr>
          <w:rFonts w:hint="eastAsia" w:ascii="宋体" w:hAnsi="宋体"/>
          <w:b/>
          <w:color w:val="000000"/>
          <w:sz w:val="32"/>
          <w:szCs w:val="32"/>
          <w:lang w:val="en-US" w:eastAsia="zh-CN"/>
        </w:rPr>
        <w:t>四川轻化工大学与泰国皇家理工大学短期交流项目</w:t>
      </w:r>
    </w:p>
    <w:p>
      <w:pPr>
        <w:pStyle w:val="3"/>
        <w:numPr>
          <w:ilvl w:val="0"/>
          <w:numId w:val="1"/>
        </w:numPr>
        <w:bidi w:val="0"/>
      </w:pPr>
      <w:r>
        <w:rPr>
          <w:rFonts w:hint="eastAsia"/>
        </w:rPr>
        <w:t>项目简介</w:t>
      </w:r>
    </w:p>
    <w:p>
      <w:pPr>
        <w:pStyle w:val="4"/>
        <w:spacing w:line="398" w:lineRule="auto"/>
        <w:ind w:left="160" w:right="117" w:firstLine="439"/>
        <w:jc w:val="both"/>
        <w:rPr>
          <w:rFonts w:hint="eastAsia"/>
          <w:spacing w:val="-6"/>
          <w:sz w:val="24"/>
          <w:szCs w:val="24"/>
        </w:rPr>
      </w:pPr>
      <w:r>
        <w:rPr>
          <w:rFonts w:hint="eastAsia"/>
          <w:spacing w:val="-6"/>
          <w:sz w:val="24"/>
          <w:szCs w:val="24"/>
        </w:rPr>
        <w:t>泰国皇家理工大学（Rajamangala University of Technology Thanyaburi，RMUTT）是泰国教育部直属的国立大学，是一所集高等教育和科学研究于一体的高水平、综合性大学。1975年泰国国王为提高全国科技教育水平，合并了多所百年学府，成立了泰国皇家科技研究院（RIT），2005年更名为泰国皇家理工大学。泰国皇家理工大学目前包括9所大学，由十多个校区组成，校园遍布全国各地。主校区（RMUTT）位于泰国曼谷巴吞他尼府坦亚布里区，占地面积1800余亩，名为坦亚武里皇家理工大学，距离曼谷素万那普国际机场及曼谷市中心均半小时车程。</w:t>
      </w:r>
    </w:p>
    <w:p>
      <w:pPr>
        <w:pStyle w:val="4"/>
        <w:spacing w:line="398" w:lineRule="auto"/>
        <w:ind w:left="160" w:right="117" w:firstLine="439"/>
        <w:jc w:val="both"/>
        <w:rPr>
          <w:rFonts w:hint="eastAsia" w:ascii="宋体" w:hAnsi="宋体" w:cs="Tahoma"/>
          <w:color w:val="000000"/>
          <w:sz w:val="24"/>
          <w:szCs w:val="24"/>
          <w:lang w:val="en-US" w:eastAsia="zh-CN"/>
        </w:rPr>
      </w:pPr>
      <w:r>
        <w:rPr>
          <w:rFonts w:hint="eastAsia"/>
          <w:spacing w:val="-6"/>
          <w:sz w:val="24"/>
          <w:szCs w:val="24"/>
        </w:rPr>
        <w:t>学校</w:t>
      </w:r>
      <w:r>
        <w:rPr>
          <w:rFonts w:hint="eastAsia"/>
          <w:spacing w:val="-6"/>
          <w:sz w:val="24"/>
          <w:szCs w:val="24"/>
          <w:lang w:val="en-US" w:eastAsia="zh-CN"/>
        </w:rPr>
        <w:t>设有</w:t>
      </w:r>
      <w:r>
        <w:rPr>
          <w:rFonts w:hint="eastAsia"/>
          <w:spacing w:val="-6"/>
          <w:sz w:val="24"/>
          <w:szCs w:val="24"/>
        </w:rPr>
        <w:t>人文、</w:t>
      </w:r>
      <w:r>
        <w:rPr>
          <w:rFonts w:hint="eastAsia"/>
          <w:spacing w:val="-6"/>
          <w:sz w:val="24"/>
          <w:szCs w:val="24"/>
          <w:lang w:val="en-US" w:eastAsia="zh-CN"/>
        </w:rPr>
        <w:t>艺术、</w:t>
      </w:r>
      <w:r>
        <w:rPr>
          <w:rFonts w:hint="eastAsia"/>
          <w:spacing w:val="-6"/>
          <w:sz w:val="24"/>
          <w:szCs w:val="24"/>
        </w:rPr>
        <w:t>教育、科技学院、</w:t>
      </w:r>
      <w:r>
        <w:rPr>
          <w:rFonts w:hint="eastAsia"/>
          <w:spacing w:val="-6"/>
          <w:sz w:val="24"/>
          <w:szCs w:val="24"/>
          <w:lang w:val="en-US" w:eastAsia="zh-CN"/>
        </w:rPr>
        <w:t>信息</w:t>
      </w:r>
      <w:r>
        <w:rPr>
          <w:rFonts w:hint="eastAsia"/>
          <w:spacing w:val="-6"/>
          <w:sz w:val="24"/>
          <w:szCs w:val="24"/>
        </w:rPr>
        <w:t>、工商、工程、建筑</w:t>
      </w:r>
      <w:r>
        <w:rPr>
          <w:rFonts w:hint="eastAsia"/>
          <w:spacing w:val="-6"/>
          <w:sz w:val="24"/>
          <w:szCs w:val="24"/>
          <w:lang w:eastAsia="zh-CN"/>
        </w:rPr>
        <w:t>、</w:t>
      </w:r>
      <w:r>
        <w:rPr>
          <w:rFonts w:hint="eastAsia"/>
          <w:spacing w:val="-6"/>
          <w:sz w:val="24"/>
          <w:szCs w:val="24"/>
          <w:lang w:val="en-US" w:eastAsia="zh-CN"/>
        </w:rPr>
        <w:t>医学</w:t>
      </w:r>
      <w:r>
        <w:rPr>
          <w:rFonts w:hint="eastAsia"/>
          <w:spacing w:val="-6"/>
          <w:sz w:val="24"/>
          <w:szCs w:val="24"/>
        </w:rPr>
        <w:t>等12个学院，拥有117个本科专业，60多个硕士、博士专业，在校生26000余人。</w:t>
      </w:r>
    </w:p>
    <w:p>
      <w:pPr>
        <w:adjustRightInd w:val="0"/>
        <w:snapToGrid w:val="0"/>
        <w:spacing w:before="156" w:beforeLines="50" w:after="156" w:afterLines="50" w:line="360" w:lineRule="auto"/>
        <w:ind w:firstLine="480" w:firstLineChars="200"/>
        <w:rPr>
          <w:rFonts w:hint="eastAsia" w:ascii="宋体" w:hAnsi="宋体" w:cs="Tahoma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Tahoma"/>
          <w:color w:val="000000"/>
          <w:sz w:val="24"/>
          <w:szCs w:val="24"/>
          <w:lang w:val="en-US" w:eastAsia="zh-CN"/>
        </w:rPr>
        <w:t>为推动中泰两国传统友谊，培养具有国际化视野的优秀人才，推动中泰两国高校间的合作交流，学校开设短期交流项目，全日制高校在读本科和研究生</w:t>
      </w:r>
      <w:r>
        <w:rPr>
          <w:rFonts w:hint="eastAsia" w:ascii="宋体" w:hAnsi="宋体" w:cs="Tahoma"/>
          <w:color w:val="000000"/>
          <w:sz w:val="24"/>
          <w:szCs w:val="24"/>
        </w:rPr>
        <w:t>均可</w:t>
      </w:r>
      <w:r>
        <w:rPr>
          <w:rFonts w:hint="eastAsia" w:ascii="宋体" w:hAnsi="宋体" w:cs="Tahoma"/>
          <w:color w:val="000000"/>
          <w:sz w:val="24"/>
          <w:szCs w:val="24"/>
          <w:lang w:val="en-US" w:eastAsia="zh-CN"/>
        </w:rPr>
        <w:t>申请。</w:t>
      </w:r>
    </w:p>
    <w:p>
      <w:pPr>
        <w:adjustRightInd w:val="0"/>
        <w:snapToGrid w:val="0"/>
        <w:spacing w:before="156" w:beforeLines="50" w:after="156" w:afterLines="50" w:line="360" w:lineRule="auto"/>
        <w:ind w:firstLine="480" w:firstLineChars="200"/>
        <w:rPr>
          <w:rFonts w:hint="eastAsia" w:ascii="宋体" w:hAnsi="宋体" w:cs="Tahoma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Tahoma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-953135</wp:posOffset>
            </wp:positionV>
            <wp:extent cx="7590155" cy="3531235"/>
            <wp:effectExtent l="0" t="0" r="10795" b="12065"/>
            <wp:wrapNone/>
            <wp:docPr id="3" name="图片 26" descr="cd2d1b38925ac736e4da94f7a249a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6" descr="cd2d1b38925ac736e4da94f7a249a0a"/>
                    <pic:cNvPicPr>
                      <a:picLocks noChangeAspect="1"/>
                    </pic:cNvPicPr>
                  </pic:nvPicPr>
                  <pic:blipFill>
                    <a:blip r:embed="rId11"/>
                    <a:srcRect l="1331" t="697" r="1331" b="2319"/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before="156" w:beforeLines="50" w:after="156" w:afterLines="50" w:line="360" w:lineRule="auto"/>
        <w:ind w:firstLine="480" w:firstLineChars="200"/>
        <w:rPr>
          <w:rFonts w:hint="eastAsia" w:ascii="宋体" w:hAnsi="宋体" w:cs="Tahoma"/>
          <w:color w:val="000000"/>
          <w:sz w:val="24"/>
          <w:szCs w:val="24"/>
          <w:lang w:val="en-US" w:eastAsia="zh-CN"/>
        </w:rPr>
      </w:pPr>
    </w:p>
    <w:p>
      <w:pPr>
        <w:adjustRightInd w:val="0"/>
        <w:snapToGrid w:val="0"/>
        <w:spacing w:before="156" w:beforeLines="50" w:after="156" w:afterLines="50" w:line="360" w:lineRule="auto"/>
        <w:ind w:firstLine="480" w:firstLineChars="200"/>
        <w:rPr>
          <w:rFonts w:hint="eastAsia" w:ascii="宋体" w:hAnsi="宋体" w:cs="Tahoma"/>
          <w:color w:val="000000"/>
          <w:sz w:val="24"/>
          <w:szCs w:val="24"/>
          <w:lang w:val="en-US" w:eastAsia="zh-CN"/>
        </w:rPr>
      </w:pPr>
    </w:p>
    <w:p>
      <w:pPr>
        <w:adjustRightInd w:val="0"/>
        <w:snapToGrid w:val="0"/>
        <w:spacing w:before="156" w:beforeLines="50" w:after="156" w:afterLines="50" w:line="360" w:lineRule="auto"/>
        <w:ind w:firstLine="480" w:firstLineChars="200"/>
        <w:rPr>
          <w:rFonts w:hint="eastAsia" w:ascii="宋体" w:hAnsi="宋体" w:cs="Tahoma"/>
          <w:color w:val="000000"/>
          <w:sz w:val="24"/>
          <w:szCs w:val="24"/>
          <w:lang w:val="en-US" w:eastAsia="zh-CN"/>
        </w:rPr>
      </w:pPr>
    </w:p>
    <w:p>
      <w:pPr>
        <w:pStyle w:val="3"/>
        <w:bidi w:val="0"/>
        <w:rPr>
          <w:rFonts w:hint="eastAsia"/>
        </w:rPr>
      </w:pPr>
    </w:p>
    <w:p>
      <w:pPr>
        <w:pStyle w:val="3"/>
        <w:bidi w:val="0"/>
        <w:rPr>
          <w:rFonts w:hint="eastAsia"/>
        </w:rPr>
      </w:pPr>
    </w:p>
    <w:p>
      <w:pPr>
        <w:pStyle w:val="3"/>
        <w:bidi w:val="0"/>
        <w:rPr>
          <w:rFonts w:hint="eastAsia" w:eastAsia="宋体"/>
          <w:lang w:val="en-US" w:eastAsia="zh-CN"/>
        </w:rPr>
      </w:pPr>
      <w:r>
        <w:rPr>
          <w:rFonts w:hint="eastAsia"/>
        </w:rPr>
        <w:t>二、</w:t>
      </w:r>
      <w:r>
        <w:t>项目</w:t>
      </w:r>
      <w:r>
        <w:rPr>
          <w:rFonts w:hint="eastAsia"/>
          <w:lang w:val="en-US" w:eastAsia="zh-CN"/>
        </w:rPr>
        <w:t>特点</w:t>
      </w:r>
    </w:p>
    <w:p>
      <w:pPr>
        <w:pStyle w:val="8"/>
        <w:adjustRightInd w:val="0"/>
        <w:snapToGrid w:val="0"/>
        <w:spacing w:before="156" w:beforeLines="50" w:beforeAutospacing="0" w:after="156" w:afterLines="50" w:afterAutospacing="0" w:line="360" w:lineRule="auto"/>
        <w:ind w:firstLine="480"/>
        <w:jc w:val="both"/>
        <w:rPr>
          <w:rFonts w:hint="default" w:ascii="ˎ̥" w:hAnsi="ˎ̥" w:eastAsia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/>
          <w:bCs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4177030</wp:posOffset>
            </wp:positionH>
            <wp:positionV relativeFrom="paragraph">
              <wp:posOffset>599440</wp:posOffset>
            </wp:positionV>
            <wp:extent cx="1737995" cy="3767455"/>
            <wp:effectExtent l="0" t="0" r="14605" b="4445"/>
            <wp:wrapNone/>
            <wp:docPr id="2" name="图片 25" descr="20d5d80ee8bf2516d3ae5551700c2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5" descr="20d5d80ee8bf2516d3ae5551700c2a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Tahoma"/>
          <w:color w:val="000000"/>
          <w:sz w:val="24"/>
          <w:szCs w:val="24"/>
          <w:lang w:val="en-US" w:eastAsia="zh-CN"/>
        </w:rPr>
        <w:t>深入一带一路建设前沿，</w:t>
      </w:r>
      <w:r>
        <w:rPr>
          <w:rFonts w:ascii="宋体" w:hAnsi="宋体" w:cs="Tahoma"/>
          <w:color w:val="000000"/>
          <w:sz w:val="24"/>
          <w:szCs w:val="24"/>
        </w:rPr>
        <w:t>体验</w:t>
      </w:r>
      <w:r>
        <w:rPr>
          <w:rFonts w:hint="eastAsia" w:ascii="宋体" w:hAnsi="宋体" w:cs="Tahoma"/>
          <w:color w:val="000000"/>
          <w:sz w:val="24"/>
          <w:szCs w:val="24"/>
        </w:rPr>
        <w:t>泰</w:t>
      </w:r>
      <w:r>
        <w:rPr>
          <w:rFonts w:ascii="宋体" w:hAnsi="宋体" w:cs="Tahoma"/>
          <w:color w:val="000000"/>
          <w:sz w:val="24"/>
          <w:szCs w:val="24"/>
        </w:rPr>
        <w:t>国</w:t>
      </w:r>
      <w:r>
        <w:rPr>
          <w:rFonts w:hint="eastAsia" w:ascii="宋体" w:hAnsi="宋体" w:cs="Tahoma"/>
          <w:color w:val="000000"/>
          <w:sz w:val="24"/>
          <w:szCs w:val="24"/>
          <w:lang w:val="en-US" w:eastAsia="zh-CN"/>
        </w:rPr>
        <w:t>传统</w:t>
      </w:r>
      <w:r>
        <w:rPr>
          <w:rFonts w:ascii="宋体" w:hAnsi="宋体" w:cs="Tahoma"/>
          <w:color w:val="000000"/>
          <w:sz w:val="24"/>
          <w:szCs w:val="24"/>
        </w:rPr>
        <w:t>文化</w:t>
      </w:r>
      <w:r>
        <w:rPr>
          <w:rFonts w:hint="eastAsia" w:cs="Tahoma"/>
          <w:color w:val="000000"/>
          <w:sz w:val="24"/>
          <w:szCs w:val="24"/>
          <w:lang w:eastAsia="zh-CN"/>
        </w:rPr>
        <w:t>，</w:t>
      </w:r>
      <w:r>
        <w:rPr>
          <w:rFonts w:hint="eastAsia" w:cs="Tahoma"/>
          <w:color w:val="000000"/>
          <w:sz w:val="24"/>
          <w:szCs w:val="24"/>
          <w:lang w:val="en-US" w:eastAsia="zh-CN"/>
        </w:rPr>
        <w:t>增强</w:t>
      </w:r>
      <w:r>
        <w:rPr>
          <w:rFonts w:hint="eastAsia"/>
          <w:color w:val="000000"/>
          <w:sz w:val="24"/>
          <w:szCs w:val="24"/>
          <w:lang w:val="en-US" w:eastAsia="zh-CN"/>
        </w:rPr>
        <w:t>跨文化交际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能力</w:t>
      </w:r>
      <w:r>
        <w:rPr>
          <w:rFonts w:hint="eastAsia"/>
          <w:color w:val="000000"/>
          <w:sz w:val="24"/>
          <w:szCs w:val="24"/>
          <w:lang w:val="en-US" w:eastAsia="zh-CN"/>
        </w:rPr>
        <w:t>，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提高</w:t>
      </w:r>
      <w:r>
        <w:rPr>
          <w:rFonts w:ascii="宋体" w:hAnsi="宋体"/>
          <w:color w:val="000000"/>
          <w:sz w:val="24"/>
          <w:szCs w:val="24"/>
        </w:rPr>
        <w:t>自主生活能力</w:t>
      </w:r>
      <w:r>
        <w:rPr>
          <w:rFonts w:hint="eastAsia"/>
          <w:color w:val="000000"/>
          <w:sz w:val="24"/>
          <w:szCs w:val="24"/>
          <w:lang w:val="en-US" w:eastAsia="zh-CN"/>
        </w:rPr>
        <w:t>和</w:t>
      </w:r>
      <w:r>
        <w:rPr>
          <w:rFonts w:ascii="宋体" w:hAnsi="宋体"/>
          <w:color w:val="000000"/>
          <w:sz w:val="24"/>
          <w:szCs w:val="24"/>
        </w:rPr>
        <w:t>环境适应能力</w:t>
      </w:r>
      <w:r>
        <w:rPr>
          <w:rFonts w:hint="eastAsia"/>
          <w:color w:val="000000"/>
          <w:sz w:val="24"/>
          <w:szCs w:val="24"/>
          <w:lang w:eastAsia="zh-CN"/>
        </w:rPr>
        <w:t>，</w:t>
      </w:r>
      <w:r>
        <w:rPr>
          <w:rFonts w:hint="eastAsia" w:cs="Tahoma"/>
          <w:color w:val="000000"/>
          <w:sz w:val="24"/>
          <w:szCs w:val="24"/>
          <w:lang w:val="en-US" w:eastAsia="zh-CN"/>
        </w:rPr>
        <w:t>增强</w:t>
      </w:r>
      <w:r>
        <w:rPr>
          <w:rFonts w:hint="eastAsia" w:cs="Arial"/>
          <w:color w:val="000000"/>
          <w:sz w:val="24"/>
          <w:szCs w:val="24"/>
        </w:rPr>
        <w:t>就业竞争力。</w:t>
      </w:r>
      <w:r>
        <w:rPr>
          <w:rFonts w:hint="eastAsia" w:cs="Arial"/>
          <w:color w:val="000000"/>
          <w:sz w:val="24"/>
          <w:szCs w:val="24"/>
          <w:lang w:val="en-US" w:eastAsia="zh-CN"/>
        </w:rPr>
        <w:t xml:space="preserve"> </w:t>
      </w:r>
    </w:p>
    <w:p>
      <w:pPr>
        <w:pStyle w:val="3"/>
        <w:bidi w:val="0"/>
        <w:rPr>
          <w:rFonts w:hint="eastAsia"/>
        </w:rPr>
      </w:pPr>
      <w:r>
        <w:rPr>
          <w:rFonts w:hint="eastAsia" w:eastAsia="宋体"/>
          <w:lang w:val="en-US" w:eastAsia="zh-CN"/>
        </w:rPr>
        <w:t>三</w:t>
      </w:r>
      <w:r>
        <w:rPr>
          <w:rFonts w:hint="eastAsia"/>
          <w:lang w:val="en-US" w:eastAsia="zh-CN"/>
        </w:rPr>
        <w:t>、交流</w:t>
      </w:r>
      <w:r>
        <w:rPr>
          <w:rFonts w:hint="eastAsia"/>
        </w:rPr>
        <w:t>时间</w:t>
      </w:r>
    </w:p>
    <w:p>
      <w:pPr>
        <w:pStyle w:val="18"/>
        <w:spacing w:before="50" w:beforeLines="0" w:beforeAutospacing="0" w:after="50" w:afterLines="0" w:afterAutospacing="0" w:line="360" w:lineRule="auto"/>
        <w:jc w:val="both"/>
        <w:rPr>
          <w:rFonts w:hint="default" w:ascii="宋体" w:hAnsi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bCs/>
          <w:color w:val="000000"/>
          <w:sz w:val="24"/>
          <w:szCs w:val="24"/>
          <w:lang w:val="en-US" w:eastAsia="zh-CN"/>
        </w:rPr>
        <w:t>行程共8天</w:t>
      </w:r>
    </w:p>
    <w:p>
      <w:pPr>
        <w:pStyle w:val="18"/>
        <w:spacing w:before="50" w:beforeLines="0" w:beforeAutospacing="0" w:after="50" w:afterLines="0" w:afterAutospacing="0" w:line="360" w:lineRule="auto"/>
        <w:jc w:val="both"/>
        <w:rPr>
          <w:rFonts w:hint="eastAsia" w:ascii="宋体" w:hAnsi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bCs/>
          <w:color w:val="000000"/>
          <w:sz w:val="24"/>
          <w:szCs w:val="24"/>
          <w:lang w:val="en-US" w:eastAsia="zh-CN"/>
        </w:rPr>
        <w:t>第一期2023年07月15日~22日</w:t>
      </w:r>
    </w:p>
    <w:p>
      <w:pPr>
        <w:pStyle w:val="18"/>
        <w:spacing w:before="50" w:beforeLines="0" w:beforeAutospacing="0" w:after="50" w:afterLines="0" w:afterAutospacing="0" w:line="360" w:lineRule="auto"/>
        <w:jc w:val="both"/>
        <w:rPr>
          <w:rFonts w:hint="eastAsia" w:ascii="宋体" w:hAnsi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bCs/>
          <w:color w:val="000000"/>
          <w:sz w:val="24"/>
          <w:szCs w:val="24"/>
          <w:lang w:val="en-US" w:eastAsia="zh-CN"/>
        </w:rPr>
        <w:t>第二期2023年07月23日~30日</w:t>
      </w:r>
    </w:p>
    <w:p>
      <w:pPr>
        <w:pStyle w:val="3"/>
        <w:bidi w:val="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四</w:t>
      </w:r>
      <w:r>
        <w:rPr>
          <w:rFonts w:hint="eastAsia"/>
        </w:rPr>
        <w:t>、</w:t>
      </w:r>
      <w:r>
        <w:t>申请条件</w:t>
      </w:r>
    </w:p>
    <w:p>
      <w:pPr>
        <w:pStyle w:val="18"/>
        <w:numPr>
          <w:ilvl w:val="0"/>
          <w:numId w:val="2"/>
        </w:numPr>
        <w:spacing w:before="50" w:beforeLines="0" w:beforeAutospacing="0" w:after="50" w:afterLines="0" w:afterAutospacing="0" w:line="360" w:lineRule="auto"/>
        <w:ind w:left="425" w:leftChars="0" w:hanging="425" w:firstLineChars="0"/>
        <w:jc w:val="left"/>
        <w:rPr>
          <w:rFonts w:hint="eastAsia"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全日制高校在读本科生、研究生</w:t>
      </w:r>
      <w:r>
        <w:rPr>
          <w:rFonts w:hint="eastAsia" w:ascii="宋体" w:hAnsi="宋体"/>
          <w:color w:val="000000"/>
          <w:sz w:val="24"/>
          <w:szCs w:val="24"/>
          <w:lang w:eastAsia="zh-CN"/>
        </w:rPr>
        <w:t>。</w:t>
      </w:r>
    </w:p>
    <w:p>
      <w:pPr>
        <w:pStyle w:val="18"/>
        <w:numPr>
          <w:ilvl w:val="0"/>
          <w:numId w:val="2"/>
        </w:numPr>
        <w:spacing w:before="50" w:beforeLines="0" w:beforeAutospacing="0" w:after="50" w:afterLines="0" w:afterAutospacing="0" w:line="360" w:lineRule="auto"/>
        <w:ind w:left="425" w:leftChars="0" w:hanging="425" w:firstLineChars="0"/>
        <w:jc w:val="left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思想进步，品德优良，无违规违纪记录。</w:t>
      </w:r>
    </w:p>
    <w:p>
      <w:pPr>
        <w:pStyle w:val="18"/>
        <w:numPr>
          <w:ilvl w:val="0"/>
          <w:numId w:val="2"/>
        </w:numPr>
        <w:spacing w:before="50" w:beforeLines="0" w:beforeAutospacing="0" w:after="50" w:afterLines="0" w:afterAutospacing="0" w:line="360" w:lineRule="auto"/>
        <w:ind w:left="425" w:leftChars="0" w:hanging="425" w:firstLineChars="0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</w:rPr>
        <w:t>有较强的独立生活</w:t>
      </w:r>
      <w:r>
        <w:rPr>
          <w:rFonts w:ascii="宋体" w:hAnsi="宋体"/>
          <w:color w:val="000000"/>
          <w:sz w:val="24"/>
          <w:szCs w:val="24"/>
        </w:rPr>
        <w:t>能力、能</w:t>
      </w:r>
      <w:r>
        <w:rPr>
          <w:rFonts w:hint="eastAsia" w:ascii="宋体" w:hAnsi="宋体"/>
          <w:color w:val="000000"/>
          <w:sz w:val="24"/>
          <w:szCs w:val="24"/>
        </w:rPr>
        <w:t>较快</w:t>
      </w:r>
      <w:r>
        <w:rPr>
          <w:rFonts w:ascii="宋体" w:hAnsi="宋体"/>
          <w:color w:val="000000"/>
          <w:sz w:val="24"/>
          <w:szCs w:val="24"/>
        </w:rPr>
        <w:t>适应新环境</w:t>
      </w:r>
      <w:r>
        <w:rPr>
          <w:rFonts w:hint="eastAsia" w:ascii="宋体" w:hAnsi="宋体"/>
          <w:color w:val="000000"/>
          <w:sz w:val="24"/>
          <w:szCs w:val="24"/>
        </w:rPr>
        <w:t>。</w:t>
      </w:r>
    </w:p>
    <w:p>
      <w:pPr>
        <w:widowControl/>
        <w:spacing w:line="360" w:lineRule="auto"/>
        <w:jc w:val="left"/>
        <w:rPr>
          <w:rFonts w:hint="eastAsia" w:ascii="方正仿宋_GB2312" w:hAnsi="方正仿宋_GB2312" w:eastAsia="方正仿宋_GB2312" w:cs="方正仿宋_GB2312"/>
          <w:sz w:val="24"/>
          <w:lang w:val="en-US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身心健康，遵纪守法。</w:t>
      </w:r>
    </w:p>
    <w:p>
      <w:pPr>
        <w:pStyle w:val="18"/>
        <w:numPr>
          <w:ilvl w:val="0"/>
          <w:numId w:val="0"/>
        </w:numPr>
        <w:spacing w:before="50" w:beforeLines="0" w:beforeAutospacing="0" w:after="50" w:afterLines="0" w:afterAutospacing="0" w:line="360" w:lineRule="auto"/>
        <w:ind w:leftChars="0"/>
        <w:jc w:val="left"/>
        <w:rPr>
          <w:rFonts w:ascii="宋体" w:hAnsi="宋体"/>
          <w:color w:val="000000"/>
          <w:sz w:val="24"/>
          <w:szCs w:val="24"/>
        </w:rPr>
      </w:pPr>
    </w:p>
    <w:p>
      <w:pPr>
        <w:pStyle w:val="3"/>
        <w:bidi w:val="0"/>
        <w:rPr>
          <w:rFonts w:hint="eastAsia"/>
          <w:lang w:val="en-US"/>
        </w:rPr>
      </w:pPr>
      <w:r>
        <w:rPr>
          <w:rFonts w:hint="eastAsia"/>
          <w:lang w:val="en-US" w:eastAsia="zh-CN"/>
        </w:rPr>
        <w:t>五</w:t>
      </w:r>
      <w:r>
        <w:rPr>
          <w:rFonts w:hint="eastAsia"/>
        </w:rPr>
        <w:t>、项目</w:t>
      </w:r>
      <w:r>
        <w:rPr>
          <w:rFonts w:hint="eastAsia"/>
          <w:lang w:val="en-US" w:eastAsia="zh-CN"/>
        </w:rPr>
        <w:t>费用</w:t>
      </w:r>
    </w:p>
    <w:p>
      <w:pPr>
        <w:pStyle w:val="18"/>
        <w:numPr>
          <w:ilvl w:val="0"/>
          <w:numId w:val="0"/>
        </w:numPr>
        <w:spacing w:before="50" w:beforeLines="0" w:beforeAutospacing="0" w:after="50" w:afterLines="0" w:afterAutospacing="0" w:line="360" w:lineRule="auto"/>
        <w:ind w:leftChars="0"/>
        <w:jc w:val="both"/>
        <w:rPr>
          <w:rFonts w:hint="default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总计19250泰铢（人民币约3850元）。费用包含8天的全部活动安排：</w:t>
      </w:r>
    </w:p>
    <w:p>
      <w:pPr>
        <w:pStyle w:val="18"/>
        <w:numPr>
          <w:ilvl w:val="0"/>
          <w:numId w:val="0"/>
        </w:numPr>
        <w:spacing w:before="50" w:beforeLines="0" w:beforeAutospacing="0" w:after="50" w:afterLines="0" w:afterAutospacing="0" w:line="360" w:lineRule="auto"/>
        <w:ind w:leftChars="0"/>
        <w:jc w:val="both"/>
        <w:rPr>
          <w:rFonts w:hint="eastAsia"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1、</w:t>
      </w:r>
      <w:r>
        <w:rPr>
          <w:rFonts w:hint="eastAsia" w:ascii="宋体" w:hAnsi="宋体"/>
          <w:color w:val="000000"/>
          <w:sz w:val="24"/>
          <w:szCs w:val="24"/>
        </w:rPr>
        <w:t>7天校内住宿，两个人一间。</w:t>
      </w:r>
    </w:p>
    <w:p>
      <w:pPr>
        <w:pStyle w:val="18"/>
        <w:numPr>
          <w:ilvl w:val="0"/>
          <w:numId w:val="0"/>
        </w:numPr>
        <w:spacing w:before="50" w:beforeLines="0" w:beforeAutospacing="0" w:after="50" w:afterLines="0" w:afterAutospacing="0" w:line="360" w:lineRule="auto"/>
        <w:ind w:leftChars="0"/>
        <w:jc w:val="both"/>
        <w:rPr>
          <w:rFonts w:hint="eastAsia"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2、</w:t>
      </w:r>
      <w:r>
        <w:rPr>
          <w:rFonts w:hint="eastAsia" w:ascii="宋体" w:hAnsi="宋体"/>
          <w:color w:val="000000"/>
          <w:sz w:val="24"/>
          <w:szCs w:val="24"/>
        </w:rPr>
        <w:t>7天早餐和3次正餐，其余自行在学校食堂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用餐</w:t>
      </w:r>
      <w:r>
        <w:rPr>
          <w:rFonts w:hint="eastAsia" w:ascii="宋体" w:hAnsi="宋体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约10元/餐</w:t>
      </w:r>
      <w:r>
        <w:rPr>
          <w:rFonts w:hint="eastAsia" w:ascii="宋体" w:hAnsi="宋体"/>
          <w:color w:val="000000"/>
          <w:sz w:val="24"/>
          <w:szCs w:val="24"/>
        </w:rPr>
        <w:t>。</w:t>
      </w:r>
    </w:p>
    <w:p>
      <w:pPr>
        <w:pStyle w:val="18"/>
        <w:numPr>
          <w:ilvl w:val="0"/>
          <w:numId w:val="0"/>
        </w:numPr>
        <w:spacing w:before="50" w:beforeLines="0" w:beforeAutospacing="0" w:after="50" w:afterLines="0" w:afterAutospacing="0" w:line="360" w:lineRule="auto"/>
        <w:ind w:leftChars="0"/>
        <w:jc w:val="both"/>
        <w:rPr>
          <w:rFonts w:hint="eastAsia"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3、</w:t>
      </w:r>
      <w:r>
        <w:rPr>
          <w:rFonts w:hint="eastAsia" w:ascii="宋体" w:hAnsi="宋体"/>
          <w:color w:val="000000"/>
          <w:sz w:val="24"/>
          <w:szCs w:val="24"/>
        </w:rPr>
        <w:t>机场接送和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外出</w:t>
      </w:r>
      <w:r>
        <w:rPr>
          <w:rFonts w:hint="eastAsia" w:ascii="宋体" w:hAnsi="宋体"/>
          <w:color w:val="000000"/>
          <w:sz w:val="24"/>
          <w:szCs w:val="24"/>
        </w:rPr>
        <w:t>活动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接送</w:t>
      </w:r>
      <w:r>
        <w:rPr>
          <w:rFonts w:hint="eastAsia" w:ascii="宋体" w:hAnsi="宋体"/>
          <w:color w:val="000000"/>
          <w:sz w:val="24"/>
          <w:szCs w:val="24"/>
        </w:rPr>
        <w:t>。</w:t>
      </w:r>
    </w:p>
    <w:p>
      <w:pPr>
        <w:pStyle w:val="18"/>
        <w:numPr>
          <w:ilvl w:val="0"/>
          <w:numId w:val="0"/>
        </w:numPr>
        <w:spacing w:before="50" w:beforeLines="0" w:beforeAutospacing="0" w:after="50" w:afterLines="0" w:afterAutospacing="0" w:line="360" w:lineRule="auto"/>
        <w:ind w:leftChars="0"/>
        <w:jc w:val="both"/>
        <w:rPr>
          <w:rFonts w:hint="eastAsia"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4、</w:t>
      </w:r>
      <w:r>
        <w:rPr>
          <w:rFonts w:hint="eastAsia" w:ascii="宋体" w:hAnsi="宋体"/>
          <w:color w:val="000000"/>
          <w:sz w:val="24"/>
          <w:szCs w:val="24"/>
        </w:rPr>
        <w:t>语言文化类课程及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专业</w:t>
      </w:r>
      <w:r>
        <w:rPr>
          <w:rFonts w:hint="eastAsia" w:ascii="宋体" w:hAnsi="宋体"/>
          <w:color w:val="000000"/>
          <w:sz w:val="24"/>
          <w:szCs w:val="24"/>
        </w:rPr>
        <w:t>讲座。</w:t>
      </w:r>
    </w:p>
    <w:p>
      <w:pPr>
        <w:pStyle w:val="18"/>
        <w:numPr>
          <w:ilvl w:val="0"/>
          <w:numId w:val="0"/>
        </w:numPr>
        <w:spacing w:before="50" w:beforeLines="0" w:beforeAutospacing="0" w:after="50" w:afterLines="0" w:afterAutospacing="0" w:line="360" w:lineRule="auto"/>
        <w:ind w:leftChars="0"/>
        <w:jc w:val="both"/>
        <w:rPr>
          <w:rFonts w:hint="eastAsia"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5、</w:t>
      </w:r>
      <w:r>
        <w:rPr>
          <w:rFonts w:hint="eastAsia" w:ascii="宋体" w:hAnsi="宋体"/>
          <w:color w:val="000000"/>
          <w:sz w:val="24"/>
          <w:szCs w:val="24"/>
        </w:rPr>
        <w:t>曼谷一日游两次，外出活动两次。</w:t>
      </w:r>
    </w:p>
    <w:p>
      <w:pPr>
        <w:pStyle w:val="18"/>
        <w:numPr>
          <w:ilvl w:val="0"/>
          <w:numId w:val="0"/>
        </w:numPr>
        <w:spacing w:before="50" w:beforeLines="0" w:beforeAutospacing="0" w:after="50" w:afterLines="0" w:afterAutospacing="0" w:line="360" w:lineRule="auto"/>
        <w:ind w:leftChars="0"/>
        <w:jc w:val="both"/>
        <w:rPr>
          <w:rFonts w:hint="eastAsia"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6、</w:t>
      </w:r>
      <w:r>
        <w:rPr>
          <w:rFonts w:hint="eastAsia" w:ascii="宋体" w:hAnsi="宋体"/>
          <w:color w:val="000000"/>
          <w:sz w:val="24"/>
          <w:szCs w:val="24"/>
        </w:rPr>
        <w:t>所有课内、课外活动有翻译人员陪伴。</w:t>
      </w:r>
    </w:p>
    <w:p>
      <w:pPr>
        <w:pStyle w:val="18"/>
        <w:numPr>
          <w:ilvl w:val="0"/>
          <w:numId w:val="0"/>
        </w:numPr>
        <w:spacing w:before="50" w:beforeLines="0" w:beforeAutospacing="0" w:after="50" w:afterLines="0" w:afterAutospacing="0" w:line="360" w:lineRule="auto"/>
        <w:ind w:leftChars="0"/>
        <w:jc w:val="both"/>
        <w:rPr>
          <w:rFonts w:hint="default" w:ascii="宋体" w:hAnsi="宋体" w:eastAsia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注：以上费用不含机票费、签证费、保险费以及个人消费。</w:t>
      </w:r>
    </w:p>
    <w:p>
      <w:pPr>
        <w:pStyle w:val="3"/>
        <w:bidi w:val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六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报名资料</w:t>
      </w:r>
    </w:p>
    <w:p>
      <w:pPr>
        <w:pStyle w:val="8"/>
        <w:widowControl/>
        <w:spacing w:beforeAutospacing="0" w:afterAutospacing="0" w:line="360" w:lineRule="auto"/>
        <w:ind w:left="0" w:leftChars="0" w:firstLine="0" w:firstLineChars="0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1、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报名表；</w:t>
      </w:r>
    </w:p>
    <w:p>
      <w:pPr>
        <w:pStyle w:val="8"/>
        <w:widowControl/>
        <w:spacing w:beforeAutospacing="0" w:afterAutospacing="0" w:line="360" w:lineRule="auto"/>
        <w:ind w:left="0" w:leftChars="0" w:firstLine="0" w:firstLineChars="0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2</w:t>
      </w:r>
      <w:r>
        <w:rPr>
          <w:rFonts w:hint="eastAsia"/>
          <w:color w:val="000000"/>
          <w:sz w:val="24"/>
          <w:szCs w:val="24"/>
          <w:lang w:val="en-US" w:eastAsia="zh-CN"/>
        </w:rPr>
        <w:t>、2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寸白底照片；</w:t>
      </w:r>
    </w:p>
    <w:p>
      <w:pPr>
        <w:pStyle w:val="8"/>
        <w:widowControl/>
        <w:numPr>
          <w:ilvl w:val="0"/>
          <w:numId w:val="0"/>
        </w:numPr>
        <w:spacing w:beforeAutospacing="0" w:afterAutospacing="0" w:line="360" w:lineRule="auto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/>
          <w:color w:val="000000"/>
          <w:sz w:val="24"/>
          <w:szCs w:val="24"/>
          <w:lang w:val="en-US" w:eastAsia="zh-CN"/>
        </w:rPr>
        <w:t>3、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护照扫描件。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七、报名流程</w:t>
      </w:r>
    </w:p>
    <w:p>
      <w:pPr>
        <w:pStyle w:val="8"/>
        <w:widowControl/>
        <w:numPr>
          <w:ilvl w:val="0"/>
          <w:numId w:val="0"/>
        </w:numPr>
        <w:spacing w:beforeAutospacing="0" w:afterAutospacing="0" w:line="360" w:lineRule="auto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1、个人报名</w:t>
      </w:r>
    </w:p>
    <w:p>
      <w:pPr>
        <w:pStyle w:val="8"/>
        <w:widowControl/>
        <w:numPr>
          <w:ilvl w:val="0"/>
          <w:numId w:val="0"/>
        </w:numPr>
        <w:spacing w:beforeAutospacing="0" w:afterAutospacing="0" w:line="360" w:lineRule="auto"/>
        <w:ind w:firstLine="480" w:firstLineChars="200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有意向报名学生请认真填写《泰国皇家理工大学暑期研学项目报名表申请表》（详见附件2），各学院收集整理学生报名情况及报名表，于2023年</w:t>
      </w:r>
      <w:r>
        <w:rPr>
          <w:rFonts w:hint="eastAsia"/>
          <w:color w:val="000000"/>
          <w:sz w:val="24"/>
          <w:szCs w:val="24"/>
          <w:lang w:val="en-US" w:eastAsia="zh-CN"/>
        </w:rPr>
        <w:t>5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月2</w:t>
      </w:r>
      <w:r>
        <w:rPr>
          <w:rFonts w:hint="eastAsia"/>
          <w:color w:val="000000"/>
          <w:sz w:val="24"/>
          <w:szCs w:val="24"/>
          <w:lang w:val="en-US" w:eastAsia="zh-CN"/>
        </w:rPr>
        <w:t>5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日17:00前将所推荐学生报名表通过OA发送至国际合作与交流处</w:t>
      </w:r>
      <w:r>
        <w:rPr>
          <w:rFonts w:hint="eastAsia"/>
          <w:color w:val="000000"/>
          <w:sz w:val="24"/>
          <w:szCs w:val="24"/>
          <w:lang w:val="en-US" w:eastAsia="zh-CN"/>
        </w:rPr>
        <w:t>熊希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处。</w:t>
      </w:r>
    </w:p>
    <w:p>
      <w:pPr>
        <w:pStyle w:val="8"/>
        <w:widowControl/>
        <w:numPr>
          <w:ilvl w:val="0"/>
          <w:numId w:val="0"/>
        </w:numPr>
        <w:spacing w:beforeAutospacing="0" w:afterAutospacing="0" w:line="360" w:lineRule="auto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2、名单确定</w:t>
      </w:r>
    </w:p>
    <w:p>
      <w:pPr>
        <w:pStyle w:val="8"/>
        <w:widowControl/>
        <w:numPr>
          <w:ilvl w:val="0"/>
          <w:numId w:val="0"/>
        </w:numPr>
        <w:spacing w:beforeAutospacing="0" w:afterAutospacing="0" w:line="360" w:lineRule="auto"/>
        <w:ind w:firstLine="480" w:firstLineChars="200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国际合作与交流处审核报名信息后由</w:t>
      </w:r>
      <w:r>
        <w:rPr>
          <w:rFonts w:hint="eastAsia"/>
          <w:color w:val="000000"/>
          <w:sz w:val="24"/>
          <w:szCs w:val="24"/>
          <w:lang w:val="en-US" w:eastAsia="zh-CN"/>
        </w:rPr>
        <w:t>泰国皇家理工大学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根据相关条件确定参加学生名单，由国际合作与交流处进行公示。</w:t>
      </w:r>
    </w:p>
    <w:p>
      <w:pPr>
        <w:pStyle w:val="8"/>
        <w:widowControl/>
        <w:numPr>
          <w:ilvl w:val="0"/>
          <w:numId w:val="0"/>
        </w:numPr>
        <w:spacing w:beforeAutospacing="0" w:afterAutospacing="0" w:line="360" w:lineRule="auto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3. 缴纳项目费</w:t>
      </w:r>
    </w:p>
    <w:p>
      <w:pPr>
        <w:pStyle w:val="8"/>
        <w:widowControl/>
        <w:numPr>
          <w:ilvl w:val="0"/>
          <w:numId w:val="0"/>
        </w:numPr>
        <w:spacing w:beforeAutospacing="0" w:afterAutospacing="0" w:line="360" w:lineRule="auto"/>
        <w:ind w:firstLine="480" w:firstLineChars="200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公示期后，项目学生</w:t>
      </w:r>
      <w:r>
        <w:rPr>
          <w:rFonts w:hint="eastAsia"/>
          <w:color w:val="000000"/>
          <w:sz w:val="24"/>
          <w:szCs w:val="24"/>
          <w:lang w:val="en-US" w:eastAsia="zh-CN"/>
        </w:rPr>
        <w:t>向泰方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缴纳项目费用。</w:t>
      </w:r>
    </w:p>
    <w:p>
      <w:pPr>
        <w:pStyle w:val="8"/>
        <w:widowControl/>
        <w:numPr>
          <w:ilvl w:val="0"/>
          <w:numId w:val="0"/>
        </w:numPr>
        <w:spacing w:beforeAutospacing="0" w:afterAutospacing="0" w:line="360" w:lineRule="auto"/>
        <w:ind w:firstLine="480" w:firstLineChars="200"/>
        <w:rPr>
          <w:rFonts w:hint="eastAsia" w:ascii="宋体" w:hAnsi="宋体"/>
          <w:color w:val="000000"/>
          <w:sz w:val="24"/>
          <w:szCs w:val="24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八、联系方式</w:t>
      </w:r>
    </w:p>
    <w:p>
      <w:pPr>
        <w:pStyle w:val="8"/>
        <w:widowControl/>
        <w:numPr>
          <w:ilvl w:val="0"/>
          <w:numId w:val="0"/>
        </w:numPr>
        <w:spacing w:beforeAutospacing="0" w:afterAutospacing="0" w:line="360" w:lineRule="auto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1、校内联系人：熊老师 0831-5980298；</w:t>
      </w:r>
    </w:p>
    <w:p>
      <w:pPr>
        <w:pStyle w:val="8"/>
        <w:widowControl/>
        <w:numPr>
          <w:ilvl w:val="0"/>
          <w:numId w:val="0"/>
        </w:numPr>
        <w:spacing w:beforeAutospacing="0" w:afterAutospacing="0" w:line="360" w:lineRule="auto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 xml:space="preserve">2、泰国皇家理工大学中方联系人：张老师 </w:t>
      </w:r>
      <w:r>
        <w:rPr>
          <w:rFonts w:hint="default"/>
          <w:color w:val="000000"/>
          <w:sz w:val="24"/>
          <w:szCs w:val="24"/>
          <w:lang w:val="en-US" w:eastAsia="zh-CN"/>
        </w:rPr>
        <w:t>010-82378188</w:t>
      </w:r>
      <w:r>
        <w:rPr>
          <w:rFonts w:hint="eastAsia"/>
          <w:color w:val="000000"/>
          <w:sz w:val="24"/>
          <w:szCs w:val="24"/>
          <w:lang w:val="en-US" w:eastAsia="zh-CN"/>
        </w:rPr>
        <w:t>、</w:t>
      </w:r>
      <w:r>
        <w:rPr>
          <w:rFonts w:hint="default"/>
          <w:color w:val="000000"/>
          <w:sz w:val="24"/>
          <w:szCs w:val="24"/>
          <w:lang w:val="en-US" w:eastAsia="zh-CN"/>
        </w:rPr>
        <w:t>82378688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。</w:t>
      </w:r>
    </w:p>
    <w:p>
      <w:pPr>
        <w:widowControl/>
        <w:numPr>
          <w:ilvl w:val="0"/>
          <w:numId w:val="0"/>
        </w:numPr>
        <w:spacing w:line="360" w:lineRule="auto"/>
        <w:jc w:val="both"/>
        <w:rPr>
          <w:rStyle w:val="11"/>
          <w:rFonts w:hint="eastAsia" w:ascii="方正仿宋_GB2312" w:hAnsi="方正仿宋_GB2312" w:eastAsia="方正仿宋_GB2312" w:cs="方正仿宋_GB2312"/>
          <w:b w:val="0"/>
          <w:kern w:val="0"/>
          <w:sz w:val="24"/>
          <w:lang w:val="en-US" w:eastAsia="zh-CN" w:bidi="ar"/>
        </w:rPr>
      </w:pPr>
    </w:p>
    <w:p>
      <w:pPr>
        <w:widowControl/>
        <w:numPr>
          <w:ilvl w:val="0"/>
          <w:numId w:val="0"/>
        </w:numPr>
        <w:spacing w:line="360" w:lineRule="auto"/>
        <w:jc w:val="right"/>
        <w:rPr>
          <w:rStyle w:val="11"/>
          <w:rFonts w:hint="eastAsia" w:ascii="方正仿宋_GB2312" w:hAnsi="方正仿宋_GB2312" w:eastAsia="方正仿宋_GB2312" w:cs="方正仿宋_GB2312"/>
          <w:b w:val="0"/>
          <w:kern w:val="0"/>
          <w:sz w:val="24"/>
          <w:lang w:val="en-US" w:eastAsia="zh-CN" w:bidi="ar"/>
        </w:rPr>
      </w:pPr>
    </w:p>
    <w:p>
      <w:pPr>
        <w:pStyle w:val="18"/>
        <w:numPr>
          <w:ilvl w:val="0"/>
          <w:numId w:val="0"/>
        </w:numPr>
        <w:spacing w:before="50" w:beforeLines="0" w:beforeAutospacing="0" w:after="50" w:afterLines="0" w:afterAutospacing="0" w:line="360" w:lineRule="auto"/>
        <w:ind w:firstLine="5760" w:firstLineChars="2400"/>
        <w:jc w:val="both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国际合作与交流处</w:t>
      </w:r>
    </w:p>
    <w:p>
      <w:pPr>
        <w:pStyle w:val="18"/>
        <w:numPr>
          <w:ilvl w:val="0"/>
          <w:numId w:val="0"/>
        </w:numPr>
        <w:spacing w:before="50" w:beforeLines="0" w:beforeAutospacing="0" w:after="50" w:afterLines="0" w:afterAutospacing="0" w:line="360" w:lineRule="auto"/>
        <w:ind w:leftChars="0" w:firstLine="5760" w:firstLineChars="2400"/>
        <w:jc w:val="both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2023年4月</w:t>
      </w:r>
      <w:r>
        <w:rPr>
          <w:rFonts w:hint="default" w:ascii="宋体" w:hAnsi="宋体"/>
          <w:color w:val="000000"/>
          <w:sz w:val="24"/>
          <w:szCs w:val="24"/>
          <w:lang w:val="en-US" w:eastAsia="zh-CN"/>
        </w:rPr>
        <w:t>21</w:t>
      </w: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日</w:t>
      </w:r>
    </w:p>
    <w:p>
      <w:pPr>
        <w:pStyle w:val="18"/>
        <w:numPr>
          <w:ilvl w:val="0"/>
          <w:numId w:val="0"/>
        </w:numPr>
        <w:spacing w:before="50" w:beforeLines="0" w:beforeAutospacing="0" w:after="50" w:afterLines="0" w:afterAutospacing="0" w:line="360" w:lineRule="auto"/>
        <w:ind w:leftChars="0"/>
        <w:jc w:val="both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5FAE198B-F3B9-4AB7-B105-A4F75A21DF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3D18A0"/>
    <w:multiLevelType w:val="singleLevel"/>
    <w:tmpl w:val="963D18A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1615570C"/>
    <w:multiLevelType w:val="multilevel"/>
    <w:tmpl w:val="1615570C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xYWIwYjQyNjVlODc5Mjg1ZTYzNTI2MmRkODIwZmMifQ=="/>
  </w:docVars>
  <w:rsids>
    <w:rsidRoot w:val="00172A27"/>
    <w:rsid w:val="04EA38FB"/>
    <w:rsid w:val="06B70DCE"/>
    <w:rsid w:val="089F4AAC"/>
    <w:rsid w:val="0B494DAB"/>
    <w:rsid w:val="0BD85B2D"/>
    <w:rsid w:val="115D7A1C"/>
    <w:rsid w:val="17BD20FF"/>
    <w:rsid w:val="1D1A5C02"/>
    <w:rsid w:val="1F141C83"/>
    <w:rsid w:val="1FF95C9E"/>
    <w:rsid w:val="21234F2F"/>
    <w:rsid w:val="217C7510"/>
    <w:rsid w:val="220F5D18"/>
    <w:rsid w:val="270F45B7"/>
    <w:rsid w:val="2B006DD7"/>
    <w:rsid w:val="2E961B3B"/>
    <w:rsid w:val="317C5F1F"/>
    <w:rsid w:val="32DB3DE1"/>
    <w:rsid w:val="39537A5D"/>
    <w:rsid w:val="3ADF489B"/>
    <w:rsid w:val="3DAB5688"/>
    <w:rsid w:val="3F1B7D00"/>
    <w:rsid w:val="402661E4"/>
    <w:rsid w:val="40C7570F"/>
    <w:rsid w:val="47693071"/>
    <w:rsid w:val="47DF462F"/>
    <w:rsid w:val="492505C9"/>
    <w:rsid w:val="4A961AA0"/>
    <w:rsid w:val="4EDB3CE8"/>
    <w:rsid w:val="4F930360"/>
    <w:rsid w:val="505B3C87"/>
    <w:rsid w:val="524F6287"/>
    <w:rsid w:val="585638D8"/>
    <w:rsid w:val="59D41526"/>
    <w:rsid w:val="5C416E2B"/>
    <w:rsid w:val="609A5E59"/>
    <w:rsid w:val="61063C34"/>
    <w:rsid w:val="62C3746A"/>
    <w:rsid w:val="6D166132"/>
    <w:rsid w:val="723A7D5B"/>
    <w:rsid w:val="73F46B48"/>
    <w:rsid w:val="75A04E19"/>
    <w:rsid w:val="76B918ED"/>
    <w:rsid w:val="77CB6495"/>
    <w:rsid w:val="79344787"/>
    <w:rsid w:val="7BE64630"/>
    <w:rsid w:val="7C545B30"/>
    <w:rsid w:val="7FFE5E0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8"/>
      <w:lang w:val="en-US" w:eastAsia="zh-CN" w:bidi="th-TH"/>
    </w:rPr>
  </w:style>
  <w:style w:type="paragraph" w:styleId="2">
    <w:name w:val="heading 2"/>
    <w:basedOn w:val="1"/>
    <w:next w:val="1"/>
    <w:link w:val="13"/>
    <w:qFormat/>
    <w:uiPriority w:val="0"/>
    <w:pPr>
      <w:keepNext/>
      <w:keepLines/>
      <w:widowControl/>
      <w:spacing w:before="260" w:beforeLines="0" w:after="260" w:afterLines="0" w:line="416" w:lineRule="auto"/>
      <w:jc w:val="left"/>
      <w:outlineLvl w:val="1"/>
    </w:pPr>
    <w:rPr>
      <w:rFonts w:ascii="Arial" w:hAnsi="Arial" w:eastAsia="黑体" w:cs="Times New Roman"/>
      <w:b/>
      <w:bCs/>
      <w:kern w:val="0"/>
      <w:sz w:val="32"/>
      <w:szCs w:val="32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5">
    <w:name w:val="Balloon Text"/>
    <w:basedOn w:val="1"/>
    <w:link w:val="14"/>
    <w:unhideWhenUsed/>
    <w:qFormat/>
    <w:uiPriority w:val="99"/>
    <w:rPr>
      <w:sz w:val="18"/>
      <w:szCs w:val="22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22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2"/>
    </w:rPr>
  </w:style>
  <w:style w:type="paragraph" w:styleId="8">
    <w:name w:val="Normal (Web)"/>
    <w:basedOn w:val="1"/>
    <w:link w:val="17"/>
    <w:qFormat/>
    <w:uiPriority w:val="0"/>
    <w:pPr>
      <w:widowControl/>
      <w:spacing w:before="100" w:beforeLines="0" w:beforeAutospacing="1" w:after="100" w:afterLines="0" w:afterAutospacing="1"/>
      <w:ind w:firstLine="200" w:firstLineChars="200"/>
      <w:jc w:val="left"/>
    </w:pPr>
    <w:rPr>
      <w:rFonts w:ascii="宋体" w:hAnsi="宋体" w:eastAsia="宋体" w:cs="宋体"/>
      <w:kern w:val="0"/>
      <w:sz w:val="24"/>
      <w:szCs w:val="24"/>
      <w:lang w:bidi="ar-SA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unhideWhenUsed/>
    <w:qFormat/>
    <w:uiPriority w:val="0"/>
    <w:rPr>
      <w:color w:val="0000FF"/>
      <w:u w:val="single"/>
    </w:rPr>
  </w:style>
  <w:style w:type="character" w:customStyle="1" w:styleId="13">
    <w:name w:val=" Char Char3"/>
    <w:link w:val="2"/>
    <w:qFormat/>
    <w:uiPriority w:val="0"/>
    <w:rPr>
      <w:rFonts w:ascii="Arial" w:hAnsi="Arial" w:eastAsia="黑体" w:cs="Times New Roman"/>
      <w:b/>
      <w:bCs/>
      <w:kern w:val="0"/>
      <w:sz w:val="32"/>
      <w:szCs w:val="32"/>
    </w:rPr>
  </w:style>
  <w:style w:type="character" w:customStyle="1" w:styleId="14">
    <w:name w:val=" Char Char"/>
    <w:link w:val="5"/>
    <w:semiHidden/>
    <w:qFormat/>
    <w:uiPriority w:val="99"/>
    <w:rPr>
      <w:sz w:val="18"/>
      <w:szCs w:val="22"/>
    </w:rPr>
  </w:style>
  <w:style w:type="character" w:customStyle="1" w:styleId="15">
    <w:name w:val=" Char Char1"/>
    <w:link w:val="6"/>
    <w:semiHidden/>
    <w:qFormat/>
    <w:uiPriority w:val="99"/>
    <w:rPr>
      <w:sz w:val="18"/>
      <w:szCs w:val="22"/>
    </w:rPr>
  </w:style>
  <w:style w:type="character" w:customStyle="1" w:styleId="16">
    <w:name w:val=" Char Char2"/>
    <w:link w:val="7"/>
    <w:semiHidden/>
    <w:qFormat/>
    <w:uiPriority w:val="99"/>
    <w:rPr>
      <w:sz w:val="18"/>
      <w:szCs w:val="22"/>
    </w:rPr>
  </w:style>
  <w:style w:type="character" w:customStyle="1" w:styleId="17">
    <w:name w:val="普通(Web) Char1 Char"/>
    <w:link w:val="8"/>
    <w:qFormat/>
    <w:locked/>
    <w:uiPriority w:val="0"/>
    <w:rPr>
      <w:rFonts w:ascii="宋体" w:hAnsi="宋体" w:eastAsia="宋体" w:cs="宋体"/>
      <w:kern w:val="0"/>
      <w:sz w:val="24"/>
      <w:szCs w:val="24"/>
      <w:lang w:bidi="ar-SA"/>
    </w:rPr>
  </w:style>
  <w:style w:type="paragraph" w:customStyle="1" w:styleId="18">
    <w:name w:val="p0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Tahoma" w:hAnsi="Tahoma" w:eastAsia="宋体" w:cs="Tahoma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4</Pages>
  <Words>991</Words>
  <Characters>1121</Characters>
  <Lines>14</Lines>
  <Paragraphs>4</Paragraphs>
  <TotalTime>3</TotalTime>
  <ScaleCrop>false</ScaleCrop>
  <LinksUpToDate>false</LinksUpToDate>
  <CharactersWithSpaces>1130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2014-04-02T07:57:00Z</dcterms:created>
  <dc:creator>Administrator</dc:creator>
  <cp:lastModifiedBy>CC熊</cp:lastModifiedBy>
  <dcterms:modified xsi:type="dcterms:W3CDTF">2023-04-21T08:17:35Z</dcterms:modified>
  <dc:title>赴泰带薪实习项目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D6F0BA52DD814CA0B86F579497F44697_13</vt:lpwstr>
  </property>
</Properties>
</file>